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E4D0" w14:textId="77777777" w:rsidR="00996B1A" w:rsidRPr="00EE2A77" w:rsidRDefault="00383F2B" w:rsidP="00EE2A77">
      <w:pPr>
        <w:spacing w:after="240" w:line="276" w:lineRule="auto"/>
        <w:ind w:left="0" w:right="-11" w:firstLine="0"/>
      </w:pPr>
      <w:r w:rsidRPr="00EE2A77">
        <w:t xml:space="preserve"> </w:t>
      </w:r>
    </w:p>
    <w:p w14:paraId="624578BB" w14:textId="12447E5F" w:rsidR="00573A4F" w:rsidRPr="00583079" w:rsidRDefault="00383F2B" w:rsidP="00583079">
      <w:pPr>
        <w:spacing w:after="240" w:line="276" w:lineRule="auto"/>
        <w:ind w:left="0" w:right="-11" w:firstLine="0"/>
        <w:jc w:val="center"/>
        <w:rPr>
          <w:b/>
          <w:bCs/>
        </w:rPr>
      </w:pPr>
      <w:r w:rsidRPr="00583079">
        <w:rPr>
          <w:b/>
          <w:bCs/>
          <w:sz w:val="28"/>
        </w:rPr>
        <w:t xml:space="preserve">Személyes adatok továbbítására vonatkozó </w:t>
      </w:r>
      <w:r w:rsidR="00BC1C7A" w:rsidRPr="00583079">
        <w:rPr>
          <w:b/>
          <w:bCs/>
          <w:sz w:val="28"/>
        </w:rPr>
        <w:t>köz</w:t>
      </w:r>
      <w:r w:rsidRPr="00583079">
        <w:rPr>
          <w:b/>
          <w:bCs/>
          <w:sz w:val="28"/>
        </w:rPr>
        <w:t>igazgatási megállapodás</w:t>
      </w:r>
      <w:r w:rsidR="008623EF">
        <w:rPr>
          <w:rStyle w:val="Lbjegyzet-hivatkozs"/>
          <w:b/>
          <w:bCs/>
          <w:sz w:val="28"/>
        </w:rPr>
        <w:footnoteReference w:id="1"/>
      </w:r>
    </w:p>
    <w:p w14:paraId="37868E46" w14:textId="58AF065E" w:rsidR="00996B1A" w:rsidRPr="00583079" w:rsidRDefault="00383F2B" w:rsidP="000A55CB">
      <w:pPr>
        <w:spacing w:after="240" w:line="276" w:lineRule="auto"/>
        <w:ind w:left="0" w:right="-11" w:firstLine="0"/>
        <w:jc w:val="center"/>
        <w:rPr>
          <w:b/>
          <w:bCs/>
        </w:rPr>
      </w:pPr>
      <w:r w:rsidRPr="00583079">
        <w:rPr>
          <w:b/>
          <w:bCs/>
        </w:rPr>
        <w:t>az Európai Gazdasági Térség („EGT”) valamennyi, az A. függelékben</w:t>
      </w:r>
      <w:r w:rsidR="00BC1C7A" w:rsidRPr="00583079">
        <w:rPr>
          <w:rStyle w:val="Lbjegyzet-hivatkozs"/>
          <w:b/>
          <w:bCs/>
        </w:rPr>
        <w:footnoteReference w:id="2"/>
      </w:r>
      <w:r w:rsidRPr="00583079">
        <w:rPr>
          <w:b/>
          <w:bCs/>
        </w:rPr>
        <w:t xml:space="preserve"> felsorolt hatósága</w:t>
      </w:r>
    </w:p>
    <w:p w14:paraId="400CF031" w14:textId="4D9418AB" w:rsidR="00996B1A" w:rsidRPr="00583079" w:rsidRDefault="00383F2B" w:rsidP="000A55CB">
      <w:pPr>
        <w:spacing w:after="240" w:line="276" w:lineRule="auto"/>
        <w:ind w:left="0" w:right="-11" w:firstLine="0"/>
        <w:jc w:val="center"/>
        <w:rPr>
          <w:b/>
          <w:bCs/>
        </w:rPr>
      </w:pPr>
      <w:r w:rsidRPr="00583079">
        <w:rPr>
          <w:b/>
          <w:bCs/>
        </w:rPr>
        <w:t>és</w:t>
      </w:r>
    </w:p>
    <w:p w14:paraId="4B675CB2" w14:textId="45832DC4" w:rsidR="00996B1A" w:rsidRPr="00583079" w:rsidRDefault="00383F2B" w:rsidP="000A55CB">
      <w:pPr>
        <w:spacing w:after="240" w:line="276" w:lineRule="auto"/>
        <w:ind w:left="0" w:right="-11" w:firstLine="0"/>
        <w:jc w:val="center"/>
        <w:rPr>
          <w:b/>
          <w:bCs/>
        </w:rPr>
      </w:pPr>
      <w:r w:rsidRPr="00583079">
        <w:rPr>
          <w:b/>
          <w:bCs/>
        </w:rPr>
        <w:t>a B. függelékben</w:t>
      </w:r>
      <w:r w:rsidR="00BC1C7A" w:rsidRPr="00583079">
        <w:rPr>
          <w:rStyle w:val="Lbjegyzet-hivatkozs"/>
          <w:b/>
          <w:bCs/>
        </w:rPr>
        <w:footnoteReference w:id="3"/>
      </w:r>
      <w:r w:rsidRPr="00583079">
        <w:rPr>
          <w:b/>
          <w:bCs/>
        </w:rPr>
        <w:t xml:space="preserve"> felsorolt valamennyi nem </w:t>
      </w:r>
      <w:proofErr w:type="spellStart"/>
      <w:r w:rsidRPr="00583079">
        <w:rPr>
          <w:b/>
          <w:bCs/>
        </w:rPr>
        <w:t>EGT</w:t>
      </w:r>
      <w:proofErr w:type="spellEnd"/>
      <w:r w:rsidRPr="00583079">
        <w:rPr>
          <w:b/>
          <w:bCs/>
        </w:rPr>
        <w:t>-országbeli hatóságok mindegyike</w:t>
      </w:r>
    </w:p>
    <w:p w14:paraId="575BEAC9" w14:textId="7A9791D7" w:rsidR="00996B1A" w:rsidRPr="00583079" w:rsidRDefault="00383F2B" w:rsidP="00583079">
      <w:pPr>
        <w:spacing w:after="240" w:line="276" w:lineRule="auto"/>
        <w:ind w:left="0" w:right="-11" w:firstLine="0"/>
        <w:jc w:val="center"/>
        <w:rPr>
          <w:b/>
          <w:bCs/>
        </w:rPr>
      </w:pPr>
      <w:r w:rsidRPr="00583079">
        <w:rPr>
          <w:b/>
          <w:bCs/>
        </w:rPr>
        <w:t xml:space="preserve">a továbbiakban </w:t>
      </w:r>
      <w:proofErr w:type="gramStart"/>
      <w:r w:rsidRPr="00583079">
        <w:rPr>
          <w:b/>
          <w:bCs/>
        </w:rPr>
        <w:t>egyenként</w:t>
      </w:r>
      <w:proofErr w:type="gramEnd"/>
      <w:r w:rsidRPr="00583079">
        <w:rPr>
          <w:b/>
          <w:bCs/>
        </w:rPr>
        <w:t xml:space="preserve"> mint „hatóság”, együttesen</w:t>
      </w:r>
      <w:r w:rsidR="00475520">
        <w:rPr>
          <w:b/>
          <w:bCs/>
        </w:rPr>
        <w:t xml:space="preserve"> mint</w:t>
      </w:r>
      <w:r w:rsidRPr="00583079">
        <w:rPr>
          <w:b/>
          <w:bCs/>
        </w:rPr>
        <w:t xml:space="preserve"> „hatóságok” között,</w:t>
      </w:r>
    </w:p>
    <w:p w14:paraId="7C4AFDDA" w14:textId="50197CE1" w:rsidR="00996B1A" w:rsidRPr="00EE2A77" w:rsidRDefault="00383F2B" w:rsidP="00583079">
      <w:pPr>
        <w:spacing w:after="240" w:line="276" w:lineRule="auto"/>
        <w:ind w:left="0" w:right="-11" w:firstLine="0"/>
        <w:jc w:val="both"/>
      </w:pPr>
      <w:r w:rsidRPr="00EE2A77">
        <w:t xml:space="preserve">amelyek jóhiszeműen eljárva alkalmazzák az ebben a </w:t>
      </w:r>
      <w:r w:rsidR="00D87A77">
        <w:t>köz</w:t>
      </w:r>
      <w:r w:rsidRPr="00EE2A77">
        <w:t xml:space="preserve">igazgatási megállapodásban („megállapodás”) meghatározott biztosítékokat </w:t>
      </w:r>
    </w:p>
    <w:p w14:paraId="63F9966B" w14:textId="77777777" w:rsidR="00996B1A" w:rsidRPr="00EE2A77" w:rsidRDefault="00383F2B" w:rsidP="00583079">
      <w:pPr>
        <w:spacing w:after="240" w:line="276" w:lineRule="auto"/>
        <w:ind w:left="0" w:right="-11" w:firstLine="0"/>
        <w:jc w:val="both"/>
      </w:pPr>
      <w:r w:rsidRPr="00EE2A77">
        <w:t xml:space="preserve">a személyes adatok közöttük történő továbbítására, </w:t>
      </w:r>
    </w:p>
    <w:p w14:paraId="790C7B62" w14:textId="7CD89FF9" w:rsidR="00996B1A" w:rsidRPr="00EE2A77" w:rsidRDefault="00383F2B" w:rsidP="00583079">
      <w:pPr>
        <w:spacing w:after="240" w:line="276" w:lineRule="auto"/>
        <w:ind w:left="0" w:right="-11" w:firstLine="0"/>
        <w:jc w:val="both"/>
      </w:pPr>
      <w:r w:rsidRPr="00EE2A77">
        <w:t xml:space="preserve">felismerve a személyes adatok védelmének és a szilárd adatvédelmi rendszerek fontosságát, </w:t>
      </w:r>
    </w:p>
    <w:p w14:paraId="6EE649BF" w14:textId="77777777" w:rsidR="00996B1A" w:rsidRPr="00EE2A77" w:rsidRDefault="00383F2B" w:rsidP="00583079">
      <w:pPr>
        <w:spacing w:after="240" w:line="276" w:lineRule="auto"/>
        <w:ind w:left="0" w:right="-11" w:firstLine="0"/>
        <w:jc w:val="both"/>
      </w:pPr>
      <w:r w:rsidRPr="00EE2A77">
        <w:t>tekintettel a természetes személyeknek a személyes adatok kezelése tekintetében történő védelméről és az ilyen adatok szabad áramlásáról, valamint a 95/46/EK rendelet hatályon kívül helyezéséről szóló, 2016. április 27-i (EU) 2016/679 európai parlamenti és tanácsi rendelet („általános adatvédelmi rendelet” vagy „GDPR”) 46. cikke (3) bekezdésének b) pontjára</w:t>
      </w:r>
      <w:r w:rsidRPr="00EE2A77">
        <w:rPr>
          <w:vertAlign w:val="superscript"/>
        </w:rPr>
        <w:footnoteReference w:id="4"/>
      </w:r>
      <w:r w:rsidRPr="00EE2A77">
        <w:t xml:space="preserve">, </w:t>
      </w:r>
    </w:p>
    <w:p w14:paraId="13A81B00" w14:textId="0677C6BB" w:rsidR="00996B1A" w:rsidRPr="00EE2A77" w:rsidRDefault="00383F2B" w:rsidP="00583079">
      <w:pPr>
        <w:spacing w:after="240" w:line="276" w:lineRule="auto"/>
        <w:ind w:left="0" w:right="-11" w:firstLine="0"/>
        <w:jc w:val="both"/>
      </w:pPr>
      <w:r w:rsidRPr="00EE2A77">
        <w:t>tekintettel a természetes személyeknek a személyes adatok uniós intézmények, szervek, hivatalok és ügynökségek által</w:t>
      </w:r>
      <w:r w:rsidR="00BA3792">
        <w:t>i kezelése</w:t>
      </w:r>
      <w:r w:rsidRPr="00EE2A77">
        <w:t xml:space="preserve"> tekintetében </w:t>
      </w:r>
      <w:r w:rsidR="00BA3792">
        <w:t xml:space="preserve">való </w:t>
      </w:r>
      <w:r w:rsidRPr="00EE2A77">
        <w:t>védelméről és az ilyen adatok szabad áramlásáról, valamint a 45/2001/EK rendelet és az 1247/2002/EK határozat hatályon kívül helyezéséről szóló, 2018. október 23-i (EU) 2018/1725 európai parlamenti és tanácsi rendelet („2018/1725 rendelet”) 48. cikke (3) bekezdésének b) pontjára</w:t>
      </w:r>
      <w:r w:rsidRPr="00EE2A77">
        <w:rPr>
          <w:sz w:val="16"/>
          <w:vertAlign w:val="superscript"/>
        </w:rPr>
        <w:footnoteReference w:id="5"/>
      </w:r>
      <w:r w:rsidRPr="00EE2A77">
        <w:t xml:space="preserve">, </w:t>
      </w:r>
    </w:p>
    <w:p w14:paraId="0453B04D" w14:textId="41BB401E" w:rsidR="00996B1A" w:rsidRPr="00EE2A77" w:rsidRDefault="00383F2B" w:rsidP="00583079">
      <w:pPr>
        <w:spacing w:after="240" w:line="276" w:lineRule="auto"/>
        <w:ind w:left="0" w:right="-11" w:firstLine="0"/>
        <w:jc w:val="both"/>
      </w:pPr>
      <w:r w:rsidRPr="00EE2A77">
        <w:t>tekintettel a személyes adatok védelmére vonatkozó</w:t>
      </w:r>
      <w:r w:rsidR="00BA3792">
        <w:t xml:space="preserve">, </w:t>
      </w:r>
      <w:r w:rsidR="00BA3792" w:rsidRPr="00EE2A77">
        <w:t>a hatóságok joghatósága alatt</w:t>
      </w:r>
      <w:r w:rsidR="00BA3792">
        <w:t xml:space="preserve"> álló</w:t>
      </w:r>
      <w:r w:rsidRPr="00EE2A77">
        <w:t xml:space="preserve"> jogi keret</w:t>
      </w:r>
      <w:r w:rsidR="00BA3792">
        <w:t>rendszer</w:t>
      </w:r>
      <w:r w:rsidRPr="00EE2A77">
        <w:t xml:space="preserve">re, és elismerve az </w:t>
      </w:r>
      <w:proofErr w:type="spellStart"/>
      <w:r w:rsidRPr="00EE2A77">
        <w:t>EGT</w:t>
      </w:r>
      <w:proofErr w:type="spellEnd"/>
      <w:r w:rsidRPr="00EE2A77">
        <w:t>-hatóságok és nemzeti adatvédelmi hatóságaik, illetve az Európai Értékpapír-piaci Felügyeleti Hatóság („</w:t>
      </w:r>
      <w:r w:rsidR="00BA3792">
        <w:t>ESMA</w:t>
      </w:r>
      <w:r w:rsidRPr="00EE2A77">
        <w:t xml:space="preserve">”) esetében az európai adatvédelmi biztos közötti rendszeres párbeszéd fontosságát, </w:t>
      </w:r>
    </w:p>
    <w:p w14:paraId="199F3A7D" w14:textId="6117E9E6" w:rsidR="00996B1A" w:rsidRPr="00EE2A77" w:rsidRDefault="00383F2B" w:rsidP="00583079">
      <w:pPr>
        <w:spacing w:after="240" w:line="276" w:lineRule="auto"/>
        <w:ind w:left="0" w:right="-11" w:firstLine="0"/>
        <w:jc w:val="both"/>
      </w:pPr>
      <w:r w:rsidRPr="00EE2A77">
        <w:t>tekintettel arra, hogy a személyes adatok feldolgozás</w:t>
      </w:r>
      <w:r w:rsidR="00926357">
        <w:t>a</w:t>
      </w:r>
      <w:r w:rsidRPr="00EE2A77">
        <w:t xml:space="preserve"> szükséges a hatóságokra ruházott közfeladat ellátásához és a hatósági jogkör gyakorlásához, és </w:t>
      </w:r>
    </w:p>
    <w:p w14:paraId="077113E0" w14:textId="77777777" w:rsidR="00573A4F" w:rsidRPr="00EE2A77" w:rsidRDefault="00383F2B" w:rsidP="00583079">
      <w:pPr>
        <w:spacing w:after="240" w:line="276" w:lineRule="auto"/>
        <w:ind w:left="0" w:right="-11" w:firstLine="0"/>
        <w:jc w:val="both"/>
      </w:pPr>
      <w:r w:rsidRPr="00EE2A77">
        <w:t xml:space="preserve">tekintettel arra, hogy biztosítani kell a hatékony nemzetközi együttműködést az alkalmazandó jogszabályokban meghatározott megbízatásukkal összhangban eljáró hatóságok között a befektetők vagy ügyfelek védelme, valamint az értékpapír- és származtatott ügyletek piacainak integritása és a beléjük vetett bizalom előmozdítása érdekében, </w:t>
      </w:r>
    </w:p>
    <w:p w14:paraId="0C938FF3" w14:textId="453AF924" w:rsidR="00996B1A" w:rsidRDefault="00383F2B" w:rsidP="00583079">
      <w:pPr>
        <w:spacing w:after="240" w:line="276" w:lineRule="auto"/>
        <w:ind w:left="0" w:right="-11" w:firstLine="0"/>
        <w:jc w:val="both"/>
      </w:pPr>
      <w:r w:rsidRPr="00EE2A77">
        <w:t xml:space="preserve">a következő megállapodásra jutottak: </w:t>
      </w:r>
    </w:p>
    <w:p w14:paraId="0274C6CE" w14:textId="54FB6F74" w:rsidR="00C40E7D" w:rsidRDefault="00C40E7D" w:rsidP="00583079">
      <w:pPr>
        <w:spacing w:after="240" w:line="276" w:lineRule="auto"/>
        <w:ind w:left="0" w:right="-11" w:firstLine="0"/>
        <w:jc w:val="both"/>
      </w:pPr>
    </w:p>
    <w:p w14:paraId="4CEF8BD6" w14:textId="77777777" w:rsidR="00C40E7D" w:rsidRPr="00EE2A77" w:rsidRDefault="00C40E7D" w:rsidP="00583079">
      <w:pPr>
        <w:spacing w:after="240" w:line="276" w:lineRule="auto"/>
        <w:ind w:left="0" w:right="-11" w:firstLine="0"/>
        <w:jc w:val="both"/>
      </w:pPr>
    </w:p>
    <w:p w14:paraId="14061C25" w14:textId="77777777" w:rsidR="00996B1A" w:rsidRPr="00EE2A77" w:rsidRDefault="00383F2B" w:rsidP="00583079">
      <w:pPr>
        <w:pStyle w:val="Cmsor1"/>
        <w:spacing w:after="240" w:line="276" w:lineRule="auto"/>
        <w:ind w:left="0" w:right="-11" w:firstLine="0"/>
        <w:jc w:val="both"/>
      </w:pPr>
      <w:r w:rsidRPr="00EE2A77">
        <w:rPr>
          <w:bCs/>
        </w:rPr>
        <w:t>Cél és alkalmazási terület</w:t>
      </w:r>
      <w:r w:rsidRPr="00EE2A77">
        <w:rPr>
          <w:b w:val="0"/>
        </w:rPr>
        <w:t xml:space="preserve"> </w:t>
      </w:r>
    </w:p>
    <w:p w14:paraId="47C410CA" w14:textId="2F9F1688" w:rsidR="00996B1A" w:rsidRPr="00EE2A77" w:rsidRDefault="00383F2B" w:rsidP="00583079">
      <w:pPr>
        <w:keepNext/>
        <w:spacing w:after="240" w:line="276" w:lineRule="auto"/>
        <w:ind w:left="0" w:right="-11" w:firstLine="0"/>
        <w:jc w:val="both"/>
      </w:pPr>
      <w:r w:rsidRPr="00EE2A77">
        <w:t xml:space="preserve">A jelen megállapodás a személyes adatoknak egy az A. függelékben meghatározott </w:t>
      </w:r>
      <w:proofErr w:type="spellStart"/>
      <w:r w:rsidRPr="00EE2A77">
        <w:t>EGT</w:t>
      </w:r>
      <w:proofErr w:type="spellEnd"/>
      <w:r w:rsidRPr="00EE2A77">
        <w:t xml:space="preserve">-hatóság és egy a B. függelékben meghatározott nem </w:t>
      </w:r>
      <w:proofErr w:type="spellStart"/>
      <w:r w:rsidRPr="00EE2A77">
        <w:t>EGT</w:t>
      </w:r>
      <w:proofErr w:type="spellEnd"/>
      <w:r w:rsidRPr="00EE2A77">
        <w:t xml:space="preserve">-hatóság közötti, az értékpapír- és/vagy származékos piacokra vonatkozó közhatósági, szabályozó és/vagy felügyeleti minőségben történő továbbítására korlátozódik. </w:t>
      </w:r>
    </w:p>
    <w:p w14:paraId="6A258359" w14:textId="3B680F00" w:rsidR="00996B1A" w:rsidRPr="00EE2A77" w:rsidRDefault="00383F2B" w:rsidP="00583079">
      <w:pPr>
        <w:spacing w:after="240" w:line="276" w:lineRule="auto"/>
        <w:ind w:left="0" w:right="-11" w:firstLine="0"/>
        <w:jc w:val="both"/>
      </w:pPr>
      <w:r w:rsidRPr="00EE2A77">
        <w:t>A hatóságok elkötelezettek amellett, hogy megfelelő biztosítékokat alkalmazzanak az ilyen személyes adatok feldolgozására vonatkozó szabályozási m</w:t>
      </w:r>
      <w:r w:rsidR="000A55CB">
        <w:t>andátum</w:t>
      </w:r>
      <w:r w:rsidRPr="00EE2A77">
        <w:t>aik és fel</w:t>
      </w:r>
      <w:r w:rsidR="007E299A">
        <w:t>adat</w:t>
      </w:r>
      <w:r w:rsidRPr="00EE2A77">
        <w:t xml:space="preserve">körük gyakorlása során. </w:t>
      </w:r>
    </w:p>
    <w:p w14:paraId="229E9293" w14:textId="1D9526B2" w:rsidR="00996B1A" w:rsidRPr="00EE2A77" w:rsidRDefault="00383F2B" w:rsidP="00583079">
      <w:pPr>
        <w:spacing w:after="240" w:line="276" w:lineRule="auto"/>
        <w:ind w:left="0" w:right="-11" w:firstLine="0"/>
        <w:jc w:val="both"/>
      </w:pPr>
      <w:r w:rsidRPr="00EE2A77">
        <w:t xml:space="preserve">Mindegyik hatóság megerősíti, hogy </w:t>
      </w:r>
      <w:r w:rsidR="00621144">
        <w:t>jelen</w:t>
      </w:r>
      <w:r w:rsidRPr="00EE2A77">
        <w:t xml:space="preserve"> megállapodással összhangban tud és fog eljárni, és hogy nincs oka azt feltételezni, hogy a hatályos jogi követelmények megakadályoznák ebben. </w:t>
      </w:r>
    </w:p>
    <w:p w14:paraId="4D3F9713" w14:textId="2F69F9C0" w:rsidR="00996B1A" w:rsidRPr="00EE2A77" w:rsidRDefault="00383F2B" w:rsidP="00583079">
      <w:pPr>
        <w:spacing w:after="240" w:line="276" w:lineRule="auto"/>
        <w:ind w:left="0" w:right="-11" w:firstLine="0"/>
        <w:jc w:val="both"/>
      </w:pPr>
      <w:r w:rsidRPr="00EE2A77">
        <w:t xml:space="preserve">Jelen megállapodás célja, hogy kiegészítse az egy vagy több </w:t>
      </w:r>
      <w:proofErr w:type="spellStart"/>
      <w:r w:rsidRPr="00EE2A77">
        <w:t>EGT</w:t>
      </w:r>
      <w:proofErr w:type="spellEnd"/>
      <w:r w:rsidRPr="00EE2A77">
        <w:t xml:space="preserve">-hatóság és egy vagy több nem </w:t>
      </w:r>
      <w:proofErr w:type="spellStart"/>
      <w:r w:rsidRPr="00EE2A77">
        <w:t>EGT</w:t>
      </w:r>
      <w:proofErr w:type="spellEnd"/>
      <w:r w:rsidRPr="00EE2A77">
        <w:t xml:space="preserve">-hatóság között meglévő információmegosztási megállapodásokat vagy </w:t>
      </w:r>
      <w:r w:rsidR="007E299A">
        <w:t>együttműködési megállapodásokat</w:t>
      </w:r>
      <w:r w:rsidRPr="00EE2A77">
        <w:t xml:space="preserve">, és hogy különböző összefüggésekben alkalmazható legyen, beleértve a felügyeleti vagy </w:t>
      </w:r>
      <w:r w:rsidR="00F42C44">
        <w:t>jogérvényesítési</w:t>
      </w:r>
      <w:r w:rsidRPr="00EE2A77">
        <w:t xml:space="preserve">célokból megosztott információkat is. </w:t>
      </w:r>
    </w:p>
    <w:p w14:paraId="051C35EF" w14:textId="63D8E82A" w:rsidR="00996B1A" w:rsidRPr="00EE2A77" w:rsidRDefault="00383F2B" w:rsidP="00583079">
      <w:pPr>
        <w:spacing w:after="240" w:line="276" w:lineRule="auto"/>
        <w:ind w:left="0" w:right="-11" w:firstLine="0"/>
        <w:jc w:val="both"/>
      </w:pPr>
      <w:r w:rsidRPr="00EE2A77">
        <w:t xml:space="preserve">Bár </w:t>
      </w:r>
      <w:r w:rsidR="00621144">
        <w:t>jelen</w:t>
      </w:r>
      <w:r w:rsidR="00621144" w:rsidRPr="00EE2A77">
        <w:t xml:space="preserve"> </w:t>
      </w:r>
      <w:r w:rsidRPr="00EE2A77">
        <w:t xml:space="preserve">megállapodás célja kifejezetten az, hogy garanciákat nyújtson a személyes adatok továbbítását illetően, nem ez az egyetlen módja a személyes adatok továbbításának, és nem tiltja a hatóság számára, hogy személyes adatokat továbbítson egy vonatkozó megállapodás, más vonatkozó megegyezés vagy </w:t>
      </w:r>
      <w:r w:rsidR="00621144">
        <w:t>jelen</w:t>
      </w:r>
      <w:r w:rsidRPr="00EE2A77">
        <w:t xml:space="preserve"> megállapodástól eltérő eljárás, például egy alkalmazandó megfelelőségi határozat alapján. </w:t>
      </w:r>
    </w:p>
    <w:p w14:paraId="41FBD9C9" w14:textId="7C0C42C7" w:rsidR="00996B1A" w:rsidRDefault="00383F2B" w:rsidP="00583079">
      <w:pPr>
        <w:spacing w:after="240" w:line="276" w:lineRule="auto"/>
        <w:ind w:left="0" w:right="-11" w:firstLine="0"/>
        <w:jc w:val="both"/>
      </w:pPr>
      <w:r w:rsidRPr="00EE2A77">
        <w:t xml:space="preserve">Az érintettek számára az egyes hatóságok joghatósága szerint alkalmazandó jogi követelmények alapján érvényes és </w:t>
      </w:r>
      <w:r w:rsidR="002B0FD0">
        <w:t xml:space="preserve">érvényesíthető </w:t>
      </w:r>
      <w:r w:rsidRPr="00EE2A77">
        <w:t>jogok állnak rendelkezésre, azonban ez a megállapodás nem hoz létre jogilag kötelező erejű kötelezettségeket, nem biztosít jogilag kötelező erejű jogokat, és nem lép a nemzeti jog helyébe. A hatóságok saját joghatóságukon belül az alkalmazandó jogi követelményeknek megfelelő módon hajtották és hajtják végre a</w:t>
      </w:r>
      <w:r w:rsidR="00621144">
        <w:t xml:space="preserve"> jelen</w:t>
      </w:r>
      <w:r w:rsidR="00621144" w:rsidRPr="00EE2A77">
        <w:t xml:space="preserve"> </w:t>
      </w:r>
      <w:r w:rsidRPr="00EE2A77">
        <w:t xml:space="preserve">megállapodás III. szakaszában meghatározott biztosítékokat. A hatóságok a személyes adatok védelmét törvények, rendeletek, valamint belső szabályzataik és eljárásaik </w:t>
      </w:r>
      <w:r w:rsidR="002B0FD0">
        <w:t xml:space="preserve">révén </w:t>
      </w:r>
      <w:r w:rsidRPr="00EE2A77">
        <w:t xml:space="preserve">biztosítják. </w:t>
      </w:r>
    </w:p>
    <w:p w14:paraId="7D6AC1ED" w14:textId="77777777" w:rsidR="00C40E7D" w:rsidRPr="00EE2A77" w:rsidRDefault="00C40E7D" w:rsidP="00583079">
      <w:pPr>
        <w:spacing w:after="240" w:line="276" w:lineRule="auto"/>
        <w:ind w:left="0" w:right="-11" w:firstLine="0"/>
        <w:jc w:val="both"/>
      </w:pPr>
    </w:p>
    <w:p w14:paraId="75DEDC18" w14:textId="77777777" w:rsidR="00996B1A" w:rsidRPr="00EE2A77" w:rsidRDefault="00383F2B" w:rsidP="00583079">
      <w:pPr>
        <w:pStyle w:val="Cmsor1"/>
        <w:spacing w:after="240" w:line="276" w:lineRule="auto"/>
        <w:ind w:left="0" w:right="-11" w:firstLine="0"/>
        <w:jc w:val="both"/>
      </w:pPr>
      <w:r w:rsidRPr="00EE2A77">
        <w:rPr>
          <w:bCs/>
        </w:rPr>
        <w:t>Fogalommeghatározások</w:t>
      </w:r>
      <w:r w:rsidRPr="00EE2A77">
        <w:rPr>
          <w:b w:val="0"/>
        </w:rPr>
        <w:t xml:space="preserve"> </w:t>
      </w:r>
    </w:p>
    <w:p w14:paraId="1B2631D6" w14:textId="77777777" w:rsidR="00996B1A" w:rsidRPr="00EE2A77" w:rsidRDefault="00383F2B" w:rsidP="00583079">
      <w:pPr>
        <w:spacing w:after="240" w:line="276" w:lineRule="auto"/>
        <w:ind w:left="567" w:right="-11" w:firstLine="0"/>
        <w:jc w:val="both"/>
      </w:pPr>
      <w:r w:rsidRPr="00EE2A77">
        <w:t xml:space="preserve">Jelen megállapodás alkalmazásában: </w:t>
      </w:r>
    </w:p>
    <w:p w14:paraId="34EDD26C" w14:textId="77777777" w:rsidR="00996B1A" w:rsidRPr="00EE2A77" w:rsidRDefault="00383F2B" w:rsidP="00583079">
      <w:pPr>
        <w:numPr>
          <w:ilvl w:val="0"/>
          <w:numId w:val="1"/>
        </w:numPr>
        <w:spacing w:after="240" w:line="276" w:lineRule="auto"/>
        <w:ind w:left="993" w:right="-11" w:hanging="426"/>
        <w:jc w:val="both"/>
      </w:pPr>
      <w:r w:rsidRPr="00EE2A77">
        <w:rPr>
          <w:b/>
          <w:bCs/>
        </w:rPr>
        <w:t>„alkalmazandó jogi követelmények”</w:t>
      </w:r>
      <w:r w:rsidRPr="00EE2A77">
        <w:t>:</w:t>
      </w:r>
      <w:r w:rsidRPr="00EE2A77">
        <w:rPr>
          <w:b/>
          <w:bCs/>
        </w:rPr>
        <w:t xml:space="preserve"> </w:t>
      </w:r>
      <w:r w:rsidRPr="00EE2A77">
        <w:t xml:space="preserve">az egyes hatóságokra vonatkozó, a személyes adatok védelmével kapcsolatos jogi keretrendszer; </w:t>
      </w:r>
    </w:p>
    <w:p w14:paraId="10FB7C83" w14:textId="77777777" w:rsidR="00996B1A" w:rsidRPr="00EE2A77" w:rsidRDefault="00383F2B" w:rsidP="00583079">
      <w:pPr>
        <w:numPr>
          <w:ilvl w:val="0"/>
          <w:numId w:val="1"/>
        </w:numPr>
        <w:spacing w:after="240" w:line="276" w:lineRule="auto"/>
        <w:ind w:left="993" w:right="-11" w:hanging="426"/>
        <w:jc w:val="both"/>
      </w:pPr>
      <w:r w:rsidRPr="00EE2A77">
        <w:rPr>
          <w:b/>
          <w:bCs/>
        </w:rPr>
        <w:t>„bűnügyi adatok”</w:t>
      </w:r>
      <w:r w:rsidRPr="00EE2A77">
        <w:t xml:space="preserve">: büntetőítéletekre és bűncselekményekre vagy kapcsolódó biztonsági intézkedésekre vonatkozó személyes adatok; </w:t>
      </w:r>
    </w:p>
    <w:p w14:paraId="4A2CAFA7" w14:textId="06A51B92" w:rsidR="00996B1A" w:rsidRPr="00EE2A77" w:rsidRDefault="00383F2B" w:rsidP="00583079">
      <w:pPr>
        <w:numPr>
          <w:ilvl w:val="0"/>
          <w:numId w:val="1"/>
        </w:numPr>
        <w:spacing w:after="240" w:line="276" w:lineRule="auto"/>
        <w:ind w:left="993" w:right="-11" w:hanging="426"/>
        <w:jc w:val="both"/>
      </w:pPr>
      <w:r w:rsidRPr="00EE2A77">
        <w:rPr>
          <w:b/>
          <w:bCs/>
        </w:rPr>
        <w:t>„továbbítás”</w:t>
      </w:r>
      <w:r w:rsidRPr="00EE2A77">
        <w:t>: a személyes adatok továbbjuttatása a fogadó hatóság által egy másik országban lévő olyan harmadik félnek, amely nem</w:t>
      </w:r>
      <w:r w:rsidR="002B0FD0">
        <w:t xml:space="preserve"> egy, az</w:t>
      </w:r>
      <w:r w:rsidRPr="00EE2A77">
        <w:t xml:space="preserve"> ebben a megállapodásban részt vevő hatóság, és ha az ilyen továbbításra nem vonatkozik az Európai Bizottság megfelelőségi határozata; </w:t>
      </w:r>
    </w:p>
    <w:p w14:paraId="3A0B987F" w14:textId="7143C6DD" w:rsidR="00996B1A" w:rsidRPr="00EE2A77" w:rsidRDefault="00383F2B" w:rsidP="00583079">
      <w:pPr>
        <w:numPr>
          <w:ilvl w:val="0"/>
          <w:numId w:val="1"/>
        </w:numPr>
        <w:spacing w:after="240" w:line="276" w:lineRule="auto"/>
        <w:ind w:left="993" w:right="-11" w:hanging="426"/>
        <w:jc w:val="both"/>
      </w:pPr>
      <w:r w:rsidRPr="00EE2A77">
        <w:rPr>
          <w:b/>
          <w:bCs/>
        </w:rPr>
        <w:lastRenderedPageBreak/>
        <w:t>„személyes adat”</w:t>
      </w:r>
      <w:r w:rsidRPr="00EE2A77">
        <w:t xml:space="preserve">: a </w:t>
      </w:r>
      <w:r w:rsidR="00621144">
        <w:t>jelen</w:t>
      </w:r>
      <w:r w:rsidRPr="00EE2A77">
        <w:t xml:space="preserve"> megállapodás hatálya alá tartozó azonosított vagy azonosítható természetes személyre („érintett”) vonatkozó bármely információ; azonosítható az a természetes személy, aki közvetlen vagy közvetett módon, különösen</w:t>
      </w:r>
      <w:r w:rsidR="00EE2A77">
        <w:t xml:space="preserve"> </w:t>
      </w:r>
      <w:r w:rsidRPr="00EE2A77">
        <w:t xml:space="preserve">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3893FF1E" w14:textId="77777777" w:rsidR="00996B1A" w:rsidRPr="00EE2A77" w:rsidRDefault="00383F2B" w:rsidP="00583079">
      <w:pPr>
        <w:numPr>
          <w:ilvl w:val="0"/>
          <w:numId w:val="1"/>
        </w:numPr>
        <w:spacing w:after="240" w:line="276" w:lineRule="auto"/>
        <w:ind w:left="993" w:right="-11" w:hanging="426"/>
        <w:jc w:val="both"/>
      </w:pPr>
      <w:r w:rsidRPr="00EE2A77">
        <w:rPr>
          <w:b/>
          <w:bCs/>
        </w:rPr>
        <w:t>„adatvédelmi incidens”</w:t>
      </w:r>
      <w:r w:rsidRPr="00EE2A77">
        <w:t xml:space="preserve">: az adatbiztonság olyan sérülése, amely a továbbított, tárolt vagy más módon feldolgozott személyes adatok véletlen vagy jogellenes megsemmisítéséhez, elvesztéséhez, megváltoztatásához, jogosulatlan közléséhez vagy az azokhoz való jogosulatlan hozzáféréshez vezet; </w:t>
      </w:r>
    </w:p>
    <w:p w14:paraId="738398C3" w14:textId="503107B1" w:rsidR="00996B1A" w:rsidRPr="00EE2A77" w:rsidRDefault="00383F2B" w:rsidP="00583079">
      <w:pPr>
        <w:numPr>
          <w:ilvl w:val="0"/>
          <w:numId w:val="1"/>
        </w:numPr>
        <w:spacing w:after="240" w:line="276" w:lineRule="auto"/>
        <w:ind w:left="993" w:right="-11" w:hanging="426"/>
        <w:jc w:val="both"/>
      </w:pPr>
      <w:r w:rsidRPr="00EE2A77">
        <w:rPr>
          <w:b/>
          <w:bCs/>
        </w:rPr>
        <w:t>„adatkezelés”</w:t>
      </w:r>
      <w:r w:rsidRPr="00EE2A77">
        <w:t xml:space="preserve">: a személyes adatokon vagy adatállományokon </w:t>
      </w:r>
      <w:r w:rsidR="00396190">
        <w:t xml:space="preserve">végzett </w:t>
      </w:r>
      <w:r w:rsidRPr="00EE2A77">
        <w:t>automatizált vagy nem automatizált</w:t>
      </w:r>
      <w:r w:rsidR="00396190">
        <w:t>,</w:t>
      </w:r>
      <w:r w:rsidRPr="00EE2A77">
        <w:t xml:space="preserve"> bármely művelet vagy műveletek összessége, így a gyűjtés, rögzítés, rendszerezés, tagolás, tárolás, átalakítás vagy megváltoztatás, lekérdezés, betekintés, felhasználás, közlés továbbítás</w:t>
      </w:r>
      <w:r w:rsidR="00396190">
        <w:t xml:space="preserve"> útján</w:t>
      </w:r>
      <w:r w:rsidRPr="00EE2A77">
        <w:t xml:space="preserve">, terjesztés vagy egyéb módon történő hozzáférhetővé tétel útján, összehangolás vagy összekapcsolás, korlátozás, törlés vagy megsemmisítés; </w:t>
      </w:r>
    </w:p>
    <w:p w14:paraId="7C85A5D9" w14:textId="3A869FF8" w:rsidR="00996B1A" w:rsidRPr="00EE2A77" w:rsidRDefault="00383F2B" w:rsidP="00583079">
      <w:pPr>
        <w:numPr>
          <w:ilvl w:val="0"/>
          <w:numId w:val="1"/>
        </w:numPr>
        <w:spacing w:after="240" w:line="276" w:lineRule="auto"/>
        <w:ind w:left="993" w:right="-11" w:hanging="426"/>
        <w:jc w:val="both"/>
      </w:pPr>
      <w:r w:rsidRPr="00EE2A77">
        <w:rPr>
          <w:b/>
          <w:bCs/>
        </w:rPr>
        <w:t>„szakmai titoktartás”</w:t>
      </w:r>
      <w:r w:rsidRPr="00EE2A77">
        <w:t xml:space="preserve">: a hatóság azon általános jogi kötelezettsége, hogy nem hozhat nyilvánosságra </w:t>
      </w:r>
      <w:r w:rsidR="00396190">
        <w:t xml:space="preserve">olyan, </w:t>
      </w:r>
      <w:r w:rsidRPr="00EE2A77">
        <w:t xml:space="preserve">nem nyilvános információkat, amelyekhez hivatalos minőségében jutott hozzá; </w:t>
      </w:r>
    </w:p>
    <w:p w14:paraId="452F3EF3" w14:textId="77777777" w:rsidR="00996B1A" w:rsidRPr="00EE2A77" w:rsidRDefault="00383F2B" w:rsidP="00583079">
      <w:pPr>
        <w:numPr>
          <w:ilvl w:val="0"/>
          <w:numId w:val="1"/>
        </w:numPr>
        <w:spacing w:after="240" w:line="276" w:lineRule="auto"/>
        <w:ind w:left="993" w:right="-11" w:hanging="426"/>
        <w:jc w:val="both"/>
      </w:pPr>
      <w:r w:rsidRPr="00EE2A77">
        <w:rPr>
          <w:b/>
          <w:bCs/>
        </w:rPr>
        <w:t>„profilalkotás”</w:t>
      </w:r>
      <w:r w:rsidRPr="00EE2A77">
        <w:t xml:space="preserve">: a személyes adatok automatizált feldolgozása, amely személyes adatok felhasználásából áll egy természetes személyre vonatkozó bizonyos személyes szempontok értékelésére; </w:t>
      </w:r>
    </w:p>
    <w:p w14:paraId="3E15734A" w14:textId="77777777" w:rsidR="00996B1A" w:rsidRPr="00EE2A77" w:rsidRDefault="00383F2B" w:rsidP="00583079">
      <w:pPr>
        <w:numPr>
          <w:ilvl w:val="0"/>
          <w:numId w:val="1"/>
        </w:numPr>
        <w:spacing w:after="240" w:line="276" w:lineRule="auto"/>
        <w:ind w:left="993" w:right="-11" w:hanging="426"/>
        <w:jc w:val="both"/>
      </w:pPr>
      <w:r w:rsidRPr="00EE2A77">
        <w:rPr>
          <w:b/>
          <w:bCs/>
        </w:rPr>
        <w:t>A GDPR szerinti érintettek jogai:</w:t>
      </w:r>
      <w:r w:rsidRPr="00EE2A77">
        <w:t xml:space="preserve"> A GDPR általánosságban az alábbi jogokat biztosítja az érintettek számára: </w:t>
      </w:r>
    </w:p>
    <w:p w14:paraId="632D5AE2" w14:textId="77777777" w:rsidR="00996B1A" w:rsidRPr="00EE2A77" w:rsidRDefault="00383F2B" w:rsidP="00583079">
      <w:pPr>
        <w:numPr>
          <w:ilvl w:val="1"/>
          <w:numId w:val="1"/>
        </w:numPr>
        <w:spacing w:after="240" w:line="276" w:lineRule="auto"/>
        <w:ind w:left="1560" w:right="-11" w:hanging="426"/>
        <w:jc w:val="both"/>
      </w:pPr>
      <w:r w:rsidRPr="00EE2A77">
        <w:rPr>
          <w:b/>
          <w:bCs/>
        </w:rPr>
        <w:t>„az automatizált döntéshozatal – ideértve a profilalkotást is – tilalmához való jog”</w:t>
      </w:r>
      <w:r w:rsidRPr="00EE2A77">
        <w:t xml:space="preserve">: az érintett azon joga, hogy ne legyen alávetve a rá vonatkozó, kizárólag automatizált feldolgozáson alapuló jogi döntéseknek; </w:t>
      </w:r>
    </w:p>
    <w:p w14:paraId="6F4EFB72" w14:textId="77777777" w:rsidR="00996B1A" w:rsidRPr="00EE2A77" w:rsidRDefault="00383F2B" w:rsidP="00583079">
      <w:pPr>
        <w:numPr>
          <w:ilvl w:val="1"/>
          <w:numId w:val="1"/>
        </w:numPr>
        <w:spacing w:after="240" w:line="276" w:lineRule="auto"/>
        <w:ind w:left="1560" w:right="-11" w:hanging="426"/>
        <w:jc w:val="both"/>
      </w:pPr>
      <w:r w:rsidRPr="00EE2A77">
        <w:rPr>
          <w:b/>
          <w:bCs/>
        </w:rPr>
        <w:t>„hozzáférési jog”</w:t>
      </w:r>
      <w:r w:rsidRPr="00EE2A77">
        <w:t xml:space="preserve">: az érintett azon joga, hogy a hatóságtól visszajelzést kapjon arról, hogy kezelnek-e rá vonatkozó személyes adatokat, és ha igen, akkor hozzáférjen a személyes adatokhoz; </w:t>
      </w:r>
    </w:p>
    <w:p w14:paraId="64881E52" w14:textId="77777777" w:rsidR="00996B1A" w:rsidRPr="00EE2A77" w:rsidRDefault="00383F2B" w:rsidP="00583079">
      <w:pPr>
        <w:numPr>
          <w:ilvl w:val="1"/>
          <w:numId w:val="1"/>
        </w:numPr>
        <w:spacing w:after="240" w:line="276" w:lineRule="auto"/>
        <w:ind w:left="1560" w:right="-11" w:hanging="426"/>
        <w:jc w:val="both"/>
      </w:pPr>
      <w:r w:rsidRPr="00EE2A77">
        <w:rPr>
          <w:b/>
          <w:bCs/>
        </w:rPr>
        <w:t>„törléshez való jog”</w:t>
      </w:r>
      <w:r w:rsidRPr="00EE2A77">
        <w:t xml:space="preserve">: az érintett azon joga, hogy személyes adatait a hatóság törölje, ha a személyes adatokra már nincs szükség azokhoz a célokhoz, amelyekhez azokat gyűjtötték vagy kezelték, vagy ha az adatokat jogellenesen gyűjtötték vagy kezelték; </w:t>
      </w:r>
    </w:p>
    <w:p w14:paraId="7F69C10B" w14:textId="77777777" w:rsidR="00996B1A" w:rsidRPr="00EE2A77" w:rsidRDefault="00383F2B" w:rsidP="00583079">
      <w:pPr>
        <w:numPr>
          <w:ilvl w:val="1"/>
          <w:numId w:val="1"/>
        </w:numPr>
        <w:spacing w:after="240" w:line="276" w:lineRule="auto"/>
        <w:ind w:left="1560" w:right="-11" w:hanging="426"/>
        <w:jc w:val="both"/>
      </w:pPr>
      <w:r w:rsidRPr="00EE2A77">
        <w:rPr>
          <w:b/>
          <w:bCs/>
        </w:rPr>
        <w:t>„tájékoztatáshoz való jog”</w:t>
      </w:r>
      <w:r w:rsidRPr="00EE2A77">
        <w:t xml:space="preserve">: az érintett azon joga, hogy tömör, átlátható, érthető és könnyen hozzáférhető formában tájékoztatást kapjon a rá vonatkozó személyes adatok feldolgozásáról; </w:t>
      </w:r>
    </w:p>
    <w:p w14:paraId="365FC66B" w14:textId="77777777" w:rsidR="00996B1A" w:rsidRPr="00EE2A77" w:rsidRDefault="00383F2B" w:rsidP="00583079">
      <w:pPr>
        <w:numPr>
          <w:ilvl w:val="1"/>
          <w:numId w:val="1"/>
        </w:numPr>
        <w:spacing w:after="240" w:line="276" w:lineRule="auto"/>
        <w:ind w:left="1560" w:right="-11" w:hanging="426"/>
        <w:jc w:val="both"/>
      </w:pPr>
      <w:r w:rsidRPr="00EE2A77">
        <w:rPr>
          <w:b/>
          <w:bCs/>
        </w:rPr>
        <w:t>„tiltakozási jog”</w:t>
      </w:r>
      <w:r w:rsidRPr="00EE2A77">
        <w:t xml:space="preserve">: az érintett azon joga, hogy saját helyzetével kapcsolatos okokból bármikor tiltakozhasson a rá vonatkozó személyes adatok hatóság általi kezelése ellen, kivéve, ha az adatkezelésnek olyan kényszerítő erejű jogos okai vannak, amelyek elsőbbséget élveznek az érintett által felhozott indokokkal szemben, vagy ha az adatkezelés jogi igények előterjesztéséhez, érvényesítéséhez vagy védelméhez szükséges; </w:t>
      </w:r>
    </w:p>
    <w:p w14:paraId="5E33CC0E" w14:textId="77777777" w:rsidR="00996B1A" w:rsidRPr="00EE2A77" w:rsidRDefault="00383F2B" w:rsidP="00583079">
      <w:pPr>
        <w:numPr>
          <w:ilvl w:val="1"/>
          <w:numId w:val="1"/>
        </w:numPr>
        <w:spacing w:after="240" w:line="276" w:lineRule="auto"/>
        <w:ind w:left="1560" w:right="-11" w:hanging="426"/>
        <w:jc w:val="both"/>
      </w:pPr>
      <w:r w:rsidRPr="00EE2A77">
        <w:rPr>
          <w:b/>
          <w:bCs/>
        </w:rPr>
        <w:lastRenderedPageBreak/>
        <w:t>„helyesbítéshez való jog”</w:t>
      </w:r>
      <w:r w:rsidRPr="00EE2A77">
        <w:t xml:space="preserve">: az érintett azon joga, hogy az érintett pontatlan személyes adatait a hatóság indokolatlan késedelem nélkül helyesbítse vagy kiegészítse; </w:t>
      </w:r>
    </w:p>
    <w:p w14:paraId="24573596" w14:textId="2C13DF0B" w:rsidR="00996B1A" w:rsidRPr="00EE2A77" w:rsidRDefault="00383F2B" w:rsidP="00583079">
      <w:pPr>
        <w:numPr>
          <w:ilvl w:val="1"/>
          <w:numId w:val="1"/>
        </w:numPr>
        <w:spacing w:after="240" w:line="276" w:lineRule="auto"/>
        <w:ind w:left="1560" w:right="-11" w:hanging="426"/>
        <w:jc w:val="both"/>
      </w:pPr>
      <w:r w:rsidRPr="00EE2A77">
        <w:rPr>
          <w:b/>
          <w:bCs/>
        </w:rPr>
        <w:t>„az adatkezelés korlátozásához való jog”</w:t>
      </w:r>
      <w:r w:rsidRPr="00EE2A77">
        <w:t>: az érintett azon joga, hogy korlátozza személyes adatainak kezelését, ha a személyes adatok pontatlanok, ha az adatkezelés jogellenes, ha a hatóságnak már nincs szüksége a személyes adatokra azokra a célokra</w:t>
      </w:r>
      <w:r w:rsidR="00475520">
        <w:t>,</w:t>
      </w:r>
      <w:r w:rsidRPr="00EE2A77">
        <w:t xml:space="preserve"> amelyekre azokat gyűjtötték, vagy ha a személyes adatok nem törölhetők; </w:t>
      </w:r>
    </w:p>
    <w:p w14:paraId="1AA537D7" w14:textId="71EA08FB" w:rsidR="00C40E7D" w:rsidRDefault="00383F2B" w:rsidP="00C40E7D">
      <w:pPr>
        <w:numPr>
          <w:ilvl w:val="0"/>
          <w:numId w:val="1"/>
        </w:numPr>
        <w:spacing w:after="240" w:line="276" w:lineRule="auto"/>
        <w:ind w:left="993" w:right="-11" w:hanging="426"/>
        <w:jc w:val="both"/>
      </w:pPr>
      <w:r w:rsidRPr="00EE2A77">
        <w:rPr>
          <w:b/>
          <w:bCs/>
        </w:rPr>
        <w:t>„személyes adatok megosztása”</w:t>
      </w:r>
      <w:r w:rsidRPr="00EE2A77">
        <w:t xml:space="preserve">: a személyes adatoknak a fogadó hatóság általi megosztása a saját országában lévő harmadik féllel, illetve az </w:t>
      </w:r>
      <w:r w:rsidR="000142EF">
        <w:t>ESMA</w:t>
      </w:r>
      <w:r w:rsidR="00475520">
        <w:t xml:space="preserve"> </w:t>
      </w:r>
      <w:r w:rsidRPr="00EE2A77">
        <w:t xml:space="preserve">esetében a személyes adatoknak az </w:t>
      </w:r>
      <w:proofErr w:type="spellStart"/>
      <w:r w:rsidRPr="00EE2A77">
        <w:t>EGT</w:t>
      </w:r>
      <w:proofErr w:type="spellEnd"/>
      <w:r w:rsidRPr="00EE2A77">
        <w:t xml:space="preserve">-hatóságok joghatóságán belüli harmadik féllel való megosztása. </w:t>
      </w:r>
    </w:p>
    <w:p w14:paraId="3A676CE3" w14:textId="77777777" w:rsidR="00C40E7D" w:rsidRPr="00EE2A77" w:rsidRDefault="00C40E7D" w:rsidP="00C40E7D">
      <w:pPr>
        <w:spacing w:after="240" w:line="276" w:lineRule="auto"/>
        <w:ind w:left="0" w:right="-11" w:firstLine="0"/>
        <w:jc w:val="both"/>
      </w:pPr>
    </w:p>
    <w:p w14:paraId="364A2E5C" w14:textId="414B1873" w:rsidR="00996B1A" w:rsidRDefault="00383F2B" w:rsidP="001F4ACC">
      <w:pPr>
        <w:pStyle w:val="Cmsor1"/>
        <w:ind w:left="0"/>
      </w:pPr>
      <w:r w:rsidRPr="00EE2A77">
        <w:t xml:space="preserve">Személyes adatvédelmi biztosítékok </w:t>
      </w:r>
    </w:p>
    <w:p w14:paraId="78F5D628" w14:textId="77777777" w:rsidR="001F4ACC" w:rsidRPr="001F4ACC" w:rsidRDefault="001F4ACC" w:rsidP="001F4ACC">
      <w:pPr>
        <w:ind w:left="0" w:firstLine="0"/>
      </w:pPr>
    </w:p>
    <w:p w14:paraId="1AFCB59D" w14:textId="333B0AE3" w:rsidR="00996B1A" w:rsidRPr="00EE2A77" w:rsidRDefault="00383F2B" w:rsidP="00583079">
      <w:pPr>
        <w:pStyle w:val="Listaszerbekezds"/>
        <w:numPr>
          <w:ilvl w:val="0"/>
          <w:numId w:val="7"/>
        </w:numPr>
        <w:spacing w:after="240" w:line="276" w:lineRule="auto"/>
        <w:ind w:right="-11" w:hanging="720"/>
        <w:jc w:val="both"/>
      </w:pPr>
      <w:r w:rsidRPr="00EE2A77">
        <w:rPr>
          <w:b/>
          <w:bCs/>
        </w:rPr>
        <w:t xml:space="preserve">Célhoz kötöttség: </w:t>
      </w:r>
      <w:r w:rsidRPr="00EE2A77">
        <w:t xml:space="preserve">A hatóságok szabályozási </w:t>
      </w:r>
      <w:r w:rsidR="009558F5">
        <w:t>mandátum</w:t>
      </w:r>
      <w:r w:rsidRPr="00EE2A77">
        <w:t xml:space="preserve">ai és feladatai közé tartozik a befektetők vagy ügyfelek védelme, valamint az értékpapír- és/vagy származékos piacok integritásának és az irántuk való bizalomnak az előmozdítása. A személyes adatok továbbítására a hatóságok között e feladatok támogatása érdekében kerül sor, és nem kerülnek továbbításra más célból, például marketing vagy kereskedelmi okokból. </w:t>
      </w:r>
    </w:p>
    <w:p w14:paraId="272CA887" w14:textId="7B1D7EF4" w:rsidR="00996B1A" w:rsidRPr="00EE2A77" w:rsidRDefault="00383F2B" w:rsidP="00583079">
      <w:pPr>
        <w:spacing w:after="240" w:line="276" w:lineRule="auto"/>
        <w:ind w:left="709" w:right="-11" w:firstLine="0"/>
        <w:jc w:val="both"/>
      </w:pPr>
      <w:r w:rsidRPr="00EE2A77">
        <w:t xml:space="preserve">Az átadó hatóság a személyes adatokat kizárólag abból a jogos és konkrét célból továbbítja, hogy segítse az átvevő hatóságot szabályozási megbízatásának és feladatainak teljesítésében, amelyek magukba foglalják az értékpapírokra vagy származtatott ügyletekre vonatkozó jogszabályok szabályozását, </w:t>
      </w:r>
      <w:r w:rsidR="009558F5">
        <w:t>adminisztrációj</w:t>
      </w:r>
      <w:r w:rsidRPr="00EE2A77">
        <w:t xml:space="preserve">át, felügyeletét, érvényesítését és betartásának biztosítását az átvevő hatóság joghatósága alatt. A fogadó hatóság a személyes adatokat nem kezeli tovább olyan módon, amely nem egyeztethető össze sem ezekkel a célokkal, sem az információ iránti kérelemben meghatározott célokkal. </w:t>
      </w:r>
    </w:p>
    <w:p w14:paraId="6F09B561" w14:textId="77777777" w:rsidR="00996B1A" w:rsidRPr="00EE2A77" w:rsidRDefault="00383F2B" w:rsidP="00583079">
      <w:pPr>
        <w:pStyle w:val="Listaszerbekezds"/>
        <w:numPr>
          <w:ilvl w:val="0"/>
          <w:numId w:val="7"/>
        </w:numPr>
        <w:spacing w:after="240" w:line="276" w:lineRule="auto"/>
        <w:ind w:right="-11" w:hanging="720"/>
        <w:jc w:val="both"/>
      </w:pPr>
      <w:r w:rsidRPr="00EE2A77">
        <w:rPr>
          <w:b/>
          <w:bCs/>
        </w:rPr>
        <w:t xml:space="preserve">Adatminőség és arányosság: </w:t>
      </w:r>
      <w:r w:rsidRPr="00EE2A77">
        <w:t xml:space="preserve">Az átadó hatóság csak olyan személyes adatokat továbbít, amelyek megfelelőek, relevánsak és a </w:t>
      </w:r>
      <w:r w:rsidRPr="00EE2A77">
        <w:rPr>
          <w:b/>
          <w:bCs/>
        </w:rPr>
        <w:t>továbbítás</w:t>
      </w:r>
      <w:r w:rsidRPr="00EE2A77">
        <w:t xml:space="preserve"> és további feldolgozás céljaihoz szükséges mértékre korlátozódnak. </w:t>
      </w:r>
    </w:p>
    <w:p w14:paraId="6A7053F0" w14:textId="77777777" w:rsidR="00996B1A" w:rsidRPr="00EE2A77" w:rsidRDefault="00383F2B" w:rsidP="00583079">
      <w:pPr>
        <w:spacing w:after="240" w:line="276" w:lineRule="auto"/>
        <w:ind w:left="709" w:right="-11" w:firstLine="0"/>
        <w:jc w:val="both"/>
      </w:pPr>
      <w:r w:rsidRPr="00EE2A77">
        <w:t xml:space="preserve">Az átadó hatóság biztosítja, hogy az általa továbbított személyes adatok legjobb tudomása szerint pontosak és szükség esetén naprakészek legyenek. Ha egy hatóság tudomására jut, hogy egy másik hatóságnak továbbított vagy egy másik hatóságtól kapott személyes adat helytelen, tájékoztatja a másik hatóságot a helytelen adatokról. Az érintett hatóságok – tekintettel a személyes adatok továbbításának és további feldolgozásának céljaira – szükség szerint kiegészítik, törlik, zárolják, kijavítják vagy más módon helyesbítik a személyes adatokat. </w:t>
      </w:r>
    </w:p>
    <w:p w14:paraId="2CF954A6" w14:textId="77777777" w:rsidR="00996B1A" w:rsidRPr="00EE2A77" w:rsidRDefault="00383F2B" w:rsidP="00583079">
      <w:pPr>
        <w:pStyle w:val="Listaszerbekezds"/>
        <w:numPr>
          <w:ilvl w:val="0"/>
          <w:numId w:val="7"/>
        </w:numPr>
        <w:spacing w:after="240" w:line="276" w:lineRule="auto"/>
        <w:ind w:right="-11" w:hanging="720"/>
        <w:jc w:val="both"/>
      </w:pPr>
      <w:r w:rsidRPr="00EE2A77">
        <w:rPr>
          <w:b/>
          <w:bCs/>
        </w:rPr>
        <w:t xml:space="preserve">Átláthatóság: </w:t>
      </w:r>
      <w:r w:rsidRPr="00EE2A77">
        <w:t xml:space="preserve">Minden hatóság általános értesítést küld az érintetteknek a következőkről: (a) hogyan és miért dolgozhat fel és továbbíthat személyes adatokat; (b) milyen típusú szervezetek részére továbbíthatók az ilyen adatok; (c) az érintetteket az alkalmazandó jogi követelmények alapján megillető jogok, beleértve e jogok gyakorlásának módját; (d) tájékoztatás az ilyen jogok gyakorlására vonatkozó esetleges késedelmekről vagy korlátozásokról, beleértve a személyes adatok határokon átnyúló </w:t>
      </w:r>
      <w:r w:rsidRPr="00EE2A77">
        <w:lastRenderedPageBreak/>
        <w:t xml:space="preserve">továbbítása esetén alkalmazandó korlátozásokat; és (e) a jogvita vagy követelés benyújtására szolgáló elérhetőségek. </w:t>
      </w:r>
    </w:p>
    <w:p w14:paraId="1D72426A" w14:textId="304A6171" w:rsidR="00996B1A" w:rsidRPr="00EE2A77" w:rsidRDefault="00383F2B" w:rsidP="00583079">
      <w:pPr>
        <w:spacing w:after="240" w:line="276" w:lineRule="auto"/>
        <w:ind w:left="709" w:right="-11" w:firstLine="0"/>
        <w:jc w:val="both"/>
      </w:pPr>
      <w:r w:rsidRPr="00EE2A77">
        <w:t xml:space="preserve">Ez az értesítés úgy valósul meg, hogy az egyes hatóságok ezt az információt </w:t>
      </w:r>
      <w:r w:rsidR="00621144">
        <w:t>a jelen</w:t>
      </w:r>
      <w:r w:rsidRPr="00EE2A77">
        <w:t xml:space="preserve"> megállapodással együtt közzéteszik a honlapjukon. </w:t>
      </w:r>
    </w:p>
    <w:p w14:paraId="579D569B" w14:textId="2D806B6B" w:rsidR="00996B1A" w:rsidRPr="00EE2A77" w:rsidRDefault="00383F2B" w:rsidP="00475520">
      <w:pPr>
        <w:spacing w:after="240" w:line="276" w:lineRule="auto"/>
        <w:ind w:left="709" w:right="-11" w:firstLine="0"/>
        <w:jc w:val="both"/>
      </w:pPr>
      <w:r w:rsidRPr="00EE2A77">
        <w:t xml:space="preserve">Az </w:t>
      </w:r>
      <w:proofErr w:type="spellStart"/>
      <w:r w:rsidRPr="00EE2A77">
        <w:t>EGT</w:t>
      </w:r>
      <w:proofErr w:type="spellEnd"/>
      <w:r w:rsidRPr="00EE2A77">
        <w:t xml:space="preserve">-hatóságok az érintettek számára a </w:t>
      </w:r>
      <w:proofErr w:type="spellStart"/>
      <w:r w:rsidRPr="00EE2A77">
        <w:t>GDPR</w:t>
      </w:r>
      <w:proofErr w:type="spellEnd"/>
      <w:r w:rsidRPr="00EE2A77">
        <w:t xml:space="preserve">-ben és az </w:t>
      </w:r>
      <w:proofErr w:type="spellStart"/>
      <w:r w:rsidRPr="00EE2A77">
        <w:t>EGT</w:t>
      </w:r>
      <w:proofErr w:type="spellEnd"/>
      <w:r w:rsidRPr="00EE2A77">
        <w:t>-hatóságok joghatósága alatt alkalmazandó nemzeti jogi keret</w:t>
      </w:r>
      <w:r w:rsidR="009558F5">
        <w:t>rendszer</w:t>
      </w:r>
      <w:r w:rsidRPr="00EE2A77">
        <w:t xml:space="preserve">ben, illetve az </w:t>
      </w:r>
      <w:r w:rsidR="000142EF">
        <w:t>ESMA</w:t>
      </w:r>
      <w:r w:rsidR="00475520">
        <w:t xml:space="preserve"> </w:t>
      </w:r>
      <w:r w:rsidRPr="00EE2A77">
        <w:t xml:space="preserve">esetében a </w:t>
      </w:r>
      <w:r w:rsidR="009558F5">
        <w:t xml:space="preserve">mindenkor hatályos </w:t>
      </w:r>
      <w:r w:rsidRPr="00EE2A77">
        <w:t>2018/1725 rendelet</w:t>
      </w:r>
      <w:r w:rsidR="009558F5">
        <w:t>nek</w:t>
      </w:r>
      <w:r w:rsidRPr="00EE2A77">
        <w:t xml:space="preserve"> megfelelően meghatározott értesítési követelményeknek és vonatkozó korlátozásoknak megfelelő egyedi értesítést küldenek. </w:t>
      </w:r>
    </w:p>
    <w:p w14:paraId="72BB847A" w14:textId="26972FFC" w:rsidR="00996B1A" w:rsidRPr="00EE2A77" w:rsidRDefault="00383F2B" w:rsidP="00583079">
      <w:pPr>
        <w:pStyle w:val="Listaszerbekezds"/>
        <w:numPr>
          <w:ilvl w:val="0"/>
          <w:numId w:val="7"/>
        </w:numPr>
        <w:spacing w:after="240" w:line="276" w:lineRule="auto"/>
        <w:ind w:right="-11" w:hanging="720"/>
        <w:jc w:val="both"/>
      </w:pPr>
      <w:r w:rsidRPr="00EE2A77">
        <w:rPr>
          <w:b/>
          <w:bCs/>
        </w:rPr>
        <w:t xml:space="preserve">Biztonság és titoktartás: </w:t>
      </w:r>
      <w:r w:rsidRPr="00EE2A77">
        <w:t xml:space="preserve">Minden fogadó hatóság megfelelő technikai és szervezeti intézkedéseket hoz a részére továbbított személyes adatok véletlen vagy jogellenes hozzáféréssel, megsemmisítéssel, elvesztéssel, módosítással vagy jogosulatlan közléssel szembeni védelme érdekében. Ezek az intézkedések megfelelő adminisztratív, technikai és fizikai biztonsági intézkedéseket tartalmaznak. Ezek az intézkedések magukban foglalhatják például az információk személyes adatként való megjelölését, a személyes adatokhoz való hozzáférés korlátozását, a személyes adatok biztonságos tárolásának biztosítását, vagy a személyes adatok biztonságos és bizalmas kezelését biztosító politikák végrehajtását. </w:t>
      </w:r>
    </w:p>
    <w:p w14:paraId="1B7DD6C6" w14:textId="6DB850F9" w:rsidR="00996B1A" w:rsidRPr="00EE2A77" w:rsidRDefault="00383F2B" w:rsidP="00583079">
      <w:pPr>
        <w:spacing w:after="240" w:line="276" w:lineRule="auto"/>
        <w:ind w:left="709" w:right="-11" w:firstLine="0"/>
        <w:jc w:val="both"/>
      </w:pPr>
      <w:r w:rsidRPr="00EE2A77">
        <w:t xml:space="preserve">Abban az esetben, ha az átvevő hatóság tudomást szerez </w:t>
      </w:r>
      <w:r w:rsidR="003E3A8D">
        <w:t>egy</w:t>
      </w:r>
      <w:r w:rsidRPr="00EE2A77">
        <w:t xml:space="preserve"> adatvédelmi incidensről, a lehető leghamarabb tájékoztatja az átadó hatóságot, </w:t>
      </w:r>
      <w:r w:rsidR="003E3A8D">
        <w:t>továbbá</w:t>
      </w:r>
      <w:r w:rsidRPr="00EE2A77">
        <w:t xml:space="preserve"> ésszerű és megfelelő eszközöket alkalmaz az adatvédelmi incidens orvoslására és az esetleges káros hatások minimalizálására. </w:t>
      </w:r>
    </w:p>
    <w:p w14:paraId="45A5196F" w14:textId="77777777" w:rsidR="00996B1A" w:rsidRPr="00EE2A77" w:rsidRDefault="00383F2B" w:rsidP="00583079">
      <w:pPr>
        <w:pStyle w:val="Listaszerbekezds"/>
        <w:numPr>
          <w:ilvl w:val="0"/>
          <w:numId w:val="7"/>
        </w:numPr>
        <w:spacing w:after="240" w:line="276" w:lineRule="auto"/>
        <w:ind w:right="-11" w:hanging="720"/>
        <w:jc w:val="both"/>
      </w:pPr>
      <w:r w:rsidRPr="00EE2A77">
        <w:rPr>
          <w:b/>
          <w:bCs/>
        </w:rPr>
        <w:t xml:space="preserve">A </w:t>
      </w:r>
      <w:proofErr w:type="spellStart"/>
      <w:r w:rsidRPr="00EE2A77">
        <w:rPr>
          <w:b/>
          <w:bCs/>
        </w:rPr>
        <w:t>GDPR-hez</w:t>
      </w:r>
      <w:proofErr w:type="spellEnd"/>
      <w:r w:rsidRPr="00EE2A77">
        <w:rPr>
          <w:b/>
          <w:bCs/>
        </w:rPr>
        <w:t xml:space="preserve"> kapcsolódó biztosítékok az érintettek jogaira vonatkozóan:</w:t>
      </w:r>
      <w:r w:rsidRPr="00EE2A77">
        <w:t xml:space="preserve"> </w:t>
      </w:r>
    </w:p>
    <w:p w14:paraId="0F327F54" w14:textId="25FAB70B" w:rsidR="00996B1A" w:rsidRPr="00EE2A77" w:rsidRDefault="00383F2B" w:rsidP="00583079">
      <w:pPr>
        <w:spacing w:after="240" w:line="276" w:lineRule="auto"/>
        <w:ind w:left="709" w:right="-11" w:firstLine="0"/>
        <w:jc w:val="both"/>
      </w:pPr>
      <w:r w:rsidRPr="00EE2A77">
        <w:t>A hatóságok a következő biztosítékokat alkalmazzák a</w:t>
      </w:r>
      <w:r w:rsidR="00621144" w:rsidRPr="00621144">
        <w:t xml:space="preserve"> </w:t>
      </w:r>
      <w:r w:rsidR="00621144">
        <w:t>jelen</w:t>
      </w:r>
      <w:r w:rsidR="00621144" w:rsidRPr="00EE2A77">
        <w:t xml:space="preserve"> </w:t>
      </w:r>
      <w:r w:rsidRPr="00EE2A77">
        <w:t xml:space="preserve">megállapodás alapján továbbított személyes adatokra: </w:t>
      </w:r>
    </w:p>
    <w:p w14:paraId="2CA9920C" w14:textId="7CB30F5D" w:rsidR="00996B1A" w:rsidRPr="00EE2A77" w:rsidRDefault="00383F2B" w:rsidP="00583079">
      <w:pPr>
        <w:spacing w:after="240" w:line="276" w:lineRule="auto"/>
        <w:ind w:left="709" w:right="-11" w:firstLine="0"/>
        <w:jc w:val="both"/>
      </w:pPr>
      <w:r w:rsidRPr="00EE2A77">
        <w:t>A hatóságok megfelelő intézkedéseket hoznak, amelyeket követnek, úgy hogy az érintett kérésére a hatóság (1) azonosítja a</w:t>
      </w:r>
      <w:r w:rsidR="00621144">
        <w:t xml:space="preserve"> jelen</w:t>
      </w:r>
      <w:r w:rsidR="00621144" w:rsidRPr="00EE2A77">
        <w:t xml:space="preserve"> </w:t>
      </w:r>
      <w:r w:rsidRPr="00EE2A77">
        <w:t xml:space="preserve">megállapodás alapján egy másik hatóságnak továbbított személyes adatokat, (2) általános tájékoztatást nyújt – többek között a hatóság weboldalán – a más hatóságoknak történő továbbításokra vonatkozó garanciákról, valamint (3) hozzáférést biztosít a személyes adatokhoz, és megerősíti, hogy a személyes adatok teljesek, pontosak és adott esetben naprakészek. </w:t>
      </w:r>
    </w:p>
    <w:p w14:paraId="4C939F37" w14:textId="497F1E3D" w:rsidR="00996B1A" w:rsidRPr="00EE2A77" w:rsidRDefault="00383F2B" w:rsidP="00583079">
      <w:pPr>
        <w:spacing w:after="240" w:line="276" w:lineRule="auto"/>
        <w:ind w:left="709" w:right="-11" w:firstLine="0"/>
        <w:jc w:val="both"/>
      </w:pPr>
      <w:r w:rsidRPr="00EE2A77">
        <w:t>Minden hatóság lehetővé teszi, hogy az érintett, aki úgy véli, hogy személyes adatai hiányosak, pontatlanok, elavultak vagy olyan módon kerülnek feldolgozásra, amely nincs összhangban az alkalmazandó jogi követelményekkel vagy a</w:t>
      </w:r>
      <w:r w:rsidR="00621144">
        <w:t xml:space="preserve"> jelen</w:t>
      </w:r>
      <w:r w:rsidR="00621144" w:rsidRPr="00EE2A77">
        <w:t xml:space="preserve"> </w:t>
      </w:r>
      <w:r w:rsidRPr="00EE2A77">
        <w:t xml:space="preserve">megállapodásban meghatározott biztosítékokkal, közvetlenül az adott hatósághoz fordulhasson az adatok helyesbítése, törlése, feldolgozásának korlátozása vagy zárolása iránti kérelemmel. </w:t>
      </w:r>
    </w:p>
    <w:p w14:paraId="519E7DEE" w14:textId="77777777" w:rsidR="00996B1A" w:rsidRPr="00EE2A77" w:rsidRDefault="00383F2B" w:rsidP="00583079">
      <w:pPr>
        <w:spacing w:after="240" w:line="276" w:lineRule="auto"/>
        <w:ind w:left="709" w:right="-11" w:firstLine="0"/>
        <w:jc w:val="both"/>
      </w:pPr>
      <w:r w:rsidRPr="00EE2A77">
        <w:t xml:space="preserve">A hatóságok az alkalmazandó jogi követelményekkel összhangban, ésszerű módon és időben megvizsgálják az érintett személyes adatainak helyesbítésére, törlésére, feldolgozásának korlátozására vagy feldolgozásával szembeni tiltakozására vonatkozó kérelmét. A hatóság megfelelő lépéseket tehet, például ésszerű díjat számíthat fel az adminisztratív költségek fedezésére, vagy megtagadhatja a kérelem alapján történő intézkedést, ha az érintett kérelmei nyilvánvalóan megalapozatlanok vagy túlzóak. </w:t>
      </w:r>
    </w:p>
    <w:p w14:paraId="0D34102E" w14:textId="77777777" w:rsidR="00996B1A" w:rsidRPr="00EE2A77" w:rsidRDefault="00383F2B" w:rsidP="00583079">
      <w:pPr>
        <w:spacing w:after="240" w:line="276" w:lineRule="auto"/>
        <w:ind w:left="709" w:right="-11" w:firstLine="0"/>
        <w:jc w:val="both"/>
      </w:pPr>
      <w:r w:rsidRPr="00EE2A77">
        <w:t xml:space="preserve">Minden hatóság automatizált eszközöket használhat megbízatásának hatékonyabb teljesítése érdekében. Egyetlen hatóság sem hozhat azonban az érintettet érintő olyan </w:t>
      </w:r>
      <w:r w:rsidRPr="00EE2A77">
        <w:lastRenderedPageBreak/>
        <w:t xml:space="preserve">jogi döntést, amely kizárólag a személyes adatok automatizált feldolgozásán alapul, ideértve a profilalkotást is, emberi közreműködés nélkül. </w:t>
      </w:r>
    </w:p>
    <w:p w14:paraId="15B25F49" w14:textId="5A200714" w:rsidR="00996B1A" w:rsidRPr="00EE2A77" w:rsidRDefault="00383F2B" w:rsidP="00583079">
      <w:pPr>
        <w:spacing w:after="240" w:line="276" w:lineRule="auto"/>
        <w:ind w:left="709" w:right="-11" w:firstLine="0"/>
        <w:jc w:val="both"/>
      </w:pPr>
      <w:r w:rsidRPr="00EE2A77">
        <w:t xml:space="preserve">A GDPR hatálya alá tartozó érintettek jogaira vonatkozó biztosítékok függenek a hatóság azon jogi kötelezettségétől, hogy a szakmai titoktartási vagy egyéb jogi kötelezettségek alapján nem hozhat nyilvánosságra bizalmas információkat. Ezek a biztosítékok korlátozhatók a rájuk ruházott hatósági jogkörök gyakorlása során eljáró hatóságok felügyeleti vagy </w:t>
      </w:r>
      <w:r w:rsidR="00F42C44">
        <w:t>jogérvényesítési</w:t>
      </w:r>
      <w:r w:rsidRPr="00EE2A77">
        <w:t xml:space="preserve">feladatai sérelmének vagy károsításának megelőzése érdekében, például az alkalmazandó jogszabályok betartásának figyelemmel kísérése vagy értékelése, illetve a feltételezett bűncselekmények megelőzése vagy kivizsgálása érdekében, a fogadó hatóság és – amennyiben az alkalmazandó jogi követelmények alapján szükséges – az átadó hatóság joghatósága által elismert fontos közérdekű célok érdekében, ideértve a nemzetközi együttműködés kölcsönösségének szellemét, vagy a szabályozott személyek és szervezetek felügyelete érdekében. A korlátozásnak szükségesnek és törvény által előírtnak kell lennie, és csak addig tart, amíg a korlátozás oka fennáll. </w:t>
      </w:r>
    </w:p>
    <w:p w14:paraId="1374E4E9" w14:textId="77777777" w:rsidR="00996B1A" w:rsidRPr="00EE2A77" w:rsidRDefault="00383F2B" w:rsidP="00583079">
      <w:pPr>
        <w:numPr>
          <w:ilvl w:val="0"/>
          <w:numId w:val="3"/>
        </w:numPr>
        <w:spacing w:after="240" w:line="276" w:lineRule="auto"/>
        <w:ind w:left="0" w:right="-11" w:firstLine="0"/>
        <w:jc w:val="both"/>
      </w:pPr>
      <w:r w:rsidRPr="00EE2A77">
        <w:rPr>
          <w:b/>
          <w:bCs/>
        </w:rPr>
        <w:t>Személyes adatok továbbítása és megosztása:</w:t>
      </w:r>
      <w:r w:rsidRPr="00EE2A77">
        <w:t xml:space="preserve"> </w:t>
      </w:r>
    </w:p>
    <w:p w14:paraId="3BA7E40A" w14:textId="77777777" w:rsidR="00996B1A" w:rsidRPr="00EE2A77" w:rsidRDefault="00383F2B" w:rsidP="00583079">
      <w:pPr>
        <w:numPr>
          <w:ilvl w:val="1"/>
          <w:numId w:val="3"/>
        </w:numPr>
        <w:spacing w:after="0" w:line="276" w:lineRule="auto"/>
        <w:ind w:left="1276" w:right="-11" w:hanging="567"/>
        <w:jc w:val="both"/>
      </w:pPr>
      <w:r w:rsidRPr="00EE2A77">
        <w:t xml:space="preserve">Személyes adatok továbbítása </w:t>
      </w:r>
    </w:p>
    <w:p w14:paraId="32E41CD7" w14:textId="5A38809A" w:rsidR="00996B1A" w:rsidRPr="00EE2A77" w:rsidRDefault="00383F2B" w:rsidP="00583079">
      <w:pPr>
        <w:spacing w:after="240" w:line="276" w:lineRule="auto"/>
        <w:ind w:left="709" w:right="-11" w:firstLine="0"/>
        <w:jc w:val="both"/>
      </w:pPr>
      <w:r w:rsidRPr="00EE2A77">
        <w:t>A</w:t>
      </w:r>
      <w:r w:rsidR="00621144">
        <w:t xml:space="preserve"> jelen</w:t>
      </w:r>
      <w:r w:rsidR="00621144" w:rsidRPr="00EE2A77">
        <w:t xml:space="preserve"> </w:t>
      </w:r>
      <w:r w:rsidRPr="00EE2A77">
        <w:t>megállapodás alapján személyes adatokat átvevő hatóság csak az átadó hatóság előzetes írásbeli hozzájárulásával továbbítja a személyes adatokat harmadik félnek, és csak akkor, ha a harmadik fél megfelelő biztosítékokat nyújt, amelyek összhangban vannak a</w:t>
      </w:r>
      <w:r w:rsidR="00621144">
        <w:t xml:space="preserve"> jelen</w:t>
      </w:r>
      <w:r w:rsidR="00621144" w:rsidRPr="00EE2A77">
        <w:t xml:space="preserve"> </w:t>
      </w:r>
      <w:r w:rsidRPr="00EE2A77">
        <w:t xml:space="preserve">megállapodásban foglalt biztosítékokkal. </w:t>
      </w:r>
    </w:p>
    <w:p w14:paraId="69C5C226" w14:textId="77777777" w:rsidR="00996B1A" w:rsidRPr="00EE2A77" w:rsidRDefault="00383F2B" w:rsidP="00583079">
      <w:pPr>
        <w:numPr>
          <w:ilvl w:val="1"/>
          <w:numId w:val="3"/>
        </w:numPr>
        <w:spacing w:after="0" w:line="276" w:lineRule="auto"/>
        <w:ind w:left="1276" w:right="-11" w:hanging="567"/>
        <w:jc w:val="both"/>
      </w:pPr>
      <w:r w:rsidRPr="00EE2A77">
        <w:t xml:space="preserve">Személyes adatok megosztása </w:t>
      </w:r>
    </w:p>
    <w:p w14:paraId="62B61A06" w14:textId="6E51F913" w:rsidR="00996B1A" w:rsidRPr="00EE2A77" w:rsidRDefault="00383F2B" w:rsidP="00583079">
      <w:pPr>
        <w:numPr>
          <w:ilvl w:val="2"/>
          <w:numId w:val="3"/>
        </w:numPr>
        <w:spacing w:after="240" w:line="276" w:lineRule="auto"/>
        <w:ind w:left="1276" w:right="-11" w:hanging="567"/>
        <w:jc w:val="both"/>
      </w:pPr>
      <w:r w:rsidRPr="00EE2A77">
        <w:t>A</w:t>
      </w:r>
      <w:r w:rsidR="00621144">
        <w:t xml:space="preserve"> jelen</w:t>
      </w:r>
      <w:r w:rsidR="00621144" w:rsidRPr="00EE2A77">
        <w:t xml:space="preserve"> </w:t>
      </w:r>
      <w:r w:rsidRPr="00EE2A77">
        <w:t>megállapodás alapján személyes adatokat átvevő hatóság csak az átadó hatóság előzetes írásbeli hozzájárulásával osztja meg a személyes adatokat, és csak akkor, ha a harmadik fél megfelelő biztosítékokat nyújt, amelyek összhangban vannak a</w:t>
      </w:r>
      <w:r w:rsidR="00621144">
        <w:t xml:space="preserve"> jelen</w:t>
      </w:r>
      <w:r w:rsidR="00621144" w:rsidRPr="00EE2A77">
        <w:t xml:space="preserve"> </w:t>
      </w:r>
      <w:r w:rsidRPr="00EE2A77">
        <w:t xml:space="preserve">megállapodásban foglalt biztosítékokkal. </w:t>
      </w:r>
    </w:p>
    <w:p w14:paraId="52D54EAF" w14:textId="77777777" w:rsidR="00996B1A" w:rsidRPr="00EE2A77" w:rsidRDefault="00383F2B" w:rsidP="00583079">
      <w:pPr>
        <w:numPr>
          <w:ilvl w:val="2"/>
          <w:numId w:val="3"/>
        </w:numPr>
        <w:spacing w:after="240" w:line="276" w:lineRule="auto"/>
        <w:ind w:left="1276" w:right="-11" w:hanging="567"/>
        <w:jc w:val="both"/>
      </w:pPr>
      <w:r w:rsidRPr="00EE2A77">
        <w:t xml:space="preserve">Amennyiben az első bekezdésben említett biztosítékokat a harmadik fél nem tudja nyújtani, a személyes adatok kivételes esetekben megoszthatók a harmadik féllel, ha a személyes adatok megosztása a fogadó hatóság és – amennyiben az alkalmazandó jogi követelmények alapján szükséges – az átadó hatóság joghatósága által elismert fontos közérdekből történik, beleértve a nemzetközi együttműködés kölcsönösségének szellemét, vagy ha a megosztás jogi igények előterjesztéséhez, érvényesítéséhez vagy védelméhez szükséges. </w:t>
      </w:r>
    </w:p>
    <w:p w14:paraId="7D3C01A4" w14:textId="37906021" w:rsidR="00996B1A" w:rsidRPr="00EE2A77" w:rsidRDefault="00383F2B" w:rsidP="00583079">
      <w:pPr>
        <w:numPr>
          <w:ilvl w:val="2"/>
          <w:numId w:val="3"/>
        </w:numPr>
        <w:spacing w:after="240" w:line="276" w:lineRule="auto"/>
        <w:ind w:left="1276" w:right="-11" w:hanging="567"/>
        <w:jc w:val="both"/>
      </w:pPr>
      <w:r w:rsidRPr="00EE2A77">
        <w:t xml:space="preserve">Amennyiben a személyes adatok megosztása polgári vagy közigazgatási végrehajtási eljárás lefolytatása, önszabályozó szervezet felügyeleti vagy </w:t>
      </w:r>
      <w:r w:rsidR="00F42C44">
        <w:t>jogérvényesítési</w:t>
      </w:r>
      <w:r w:rsidRPr="00EE2A77">
        <w:t xml:space="preserve">tevékenységében való közreműködés, büntetőeljárásban való közreműködés, vagy a kérelemben meghatározott rendelkezés megsértésével kapcsolatos vizsgálat lefolytatása céljából történik, amennyiben az a fogadó hatóság által alkalmazott törvények és rendeletek megsértésére vonatkozik, beleértve a nyilvános </w:t>
      </w:r>
      <w:r w:rsidR="001B2EB9">
        <w:t>jogérvényesíté</w:t>
      </w:r>
      <w:r w:rsidRPr="00EE2A77">
        <w:t xml:space="preserve">si eljárásokat is, az átvevő hatóság a személyes adatokat harmadik féllel (például köztestületekkel, bíróságokkal, önszabályozó szervezetekkel és végrehajtási eljárások résztvevőivel) az átadó hatóság hozzájárulásának kérése és biztosítékok beszerzése nélkül is megoszthatja, ha a megosztás olyan célokra történik, amelyek összhangban vannak azzal a céllal, amelyre az adatokat eredetileg továbbították, vagy a kérelemben megjelölt felhasználás általános keretével, és szükséges az átvevő hatóság és/vagy a harmadik fél megbízatásának és feladatainak teljesítéséhez. </w:t>
      </w:r>
      <w:r w:rsidRPr="00EE2A77">
        <w:lastRenderedPageBreak/>
        <w:t>Amikor a</w:t>
      </w:r>
      <w:r w:rsidR="00621144">
        <w:t xml:space="preserve"> jelen</w:t>
      </w:r>
      <w:r w:rsidR="00621144" w:rsidRPr="00EE2A77">
        <w:t xml:space="preserve"> </w:t>
      </w:r>
      <w:r w:rsidRPr="00EE2A77">
        <w:t>megállapodás alapján kapott személyes adatokat megosztja egy önszabályozó szervezettel, a fogadó hatóság biztosítja, hogy az önszabályozó szervezet képes legyen és folyamatosan megfeleljen a</w:t>
      </w:r>
      <w:r w:rsidR="00621144">
        <w:t xml:space="preserve"> jelen</w:t>
      </w:r>
      <w:r w:rsidR="00621144" w:rsidRPr="00EE2A77">
        <w:t xml:space="preserve"> </w:t>
      </w:r>
      <w:r w:rsidRPr="00EE2A77">
        <w:t xml:space="preserve">megállapodás III. szakaszának (4) bekezdésében meghatározott titoktartási </w:t>
      </w:r>
      <w:r w:rsidR="001B2EB9">
        <w:t>előírásokna</w:t>
      </w:r>
      <w:r w:rsidRPr="00EE2A77">
        <w:t xml:space="preserve">k. </w:t>
      </w:r>
    </w:p>
    <w:p w14:paraId="468CD835" w14:textId="5BF4CFC6" w:rsidR="00996B1A" w:rsidRPr="00EE2A77" w:rsidRDefault="00383F2B" w:rsidP="00475520">
      <w:pPr>
        <w:numPr>
          <w:ilvl w:val="2"/>
          <w:numId w:val="3"/>
        </w:numPr>
        <w:spacing w:after="240" w:line="276" w:lineRule="auto"/>
        <w:ind w:left="1276" w:right="-11" w:hanging="567"/>
        <w:jc w:val="both"/>
      </w:pPr>
      <w:r w:rsidRPr="00EE2A77">
        <w:t>A fogadó hatóság a személyes adatokat harmadik féllel az átadó hatóság hozzájárulásának kérése és biztosítékok beszerzése nélkül is megoszthatja, amennyiben a személyes adatok megosztása jogilag kikényszeríthető követelésre történik, vagy azt jogszabály írja elő. A fogadó hatóság a megosztás előtt értesíti az átadó hatóságot, és tájékoztatja a kért adatokról, a megkereső szervről és a megosztás jogalapjáról. A fogadó hatóság minden tőle telhetőt megtesz annak érdekében, hogy korlátozza a</w:t>
      </w:r>
      <w:r w:rsidR="00621144">
        <w:t xml:space="preserve"> jelen</w:t>
      </w:r>
      <w:r w:rsidR="00621144" w:rsidRPr="00EE2A77">
        <w:t xml:space="preserve"> </w:t>
      </w:r>
      <w:r w:rsidRPr="00EE2A77">
        <w:t xml:space="preserve">megállapodás alapján kapott személyes adatok megosztását, különösen az alkalmazandó jogi mentességek és kiváltságok érvényesítésével. </w:t>
      </w:r>
    </w:p>
    <w:p w14:paraId="244F4CE9" w14:textId="77777777" w:rsidR="00996B1A" w:rsidRPr="00EE2A77" w:rsidRDefault="00383F2B" w:rsidP="00583079">
      <w:pPr>
        <w:numPr>
          <w:ilvl w:val="0"/>
          <w:numId w:val="3"/>
        </w:numPr>
        <w:spacing w:after="240" w:line="276" w:lineRule="auto"/>
        <w:ind w:left="709" w:right="-11" w:hanging="709"/>
        <w:jc w:val="both"/>
        <w:rPr>
          <w:b/>
        </w:rPr>
      </w:pPr>
      <w:r w:rsidRPr="00EE2A77">
        <w:rPr>
          <w:b/>
          <w:bCs/>
        </w:rPr>
        <w:t xml:space="preserve">Korlátozott adatmegőrzési időszak: </w:t>
      </w:r>
      <w:r w:rsidRPr="00EE2A77">
        <w:t xml:space="preserve">A hatóságok a személyes adatokat csak addig őrzik meg, ameddig az szükséges és megfelelő az adatok feldolgozásának céljához. Ez a megőrzési időszak megfelel az ilyen adatok megőrzésére vonatkozó törvényeknek, szabályoknak és/vagy rendeleteknek </w:t>
      </w:r>
      <w:r w:rsidRPr="00EE2A77">
        <w:rPr>
          <w:b/>
          <w:bCs/>
        </w:rPr>
        <w:t>a fogadó hatóság joghatósága alatt</w:t>
      </w:r>
      <w:r w:rsidRPr="00EE2A77">
        <w:t>.</w:t>
      </w:r>
      <w:r w:rsidRPr="00EE2A77">
        <w:rPr>
          <w:b/>
          <w:bCs/>
        </w:rPr>
        <w:t xml:space="preserve"> </w:t>
      </w:r>
    </w:p>
    <w:p w14:paraId="51892265" w14:textId="5AB311ED" w:rsidR="00996B1A" w:rsidRPr="00EE2A77" w:rsidRDefault="00383F2B" w:rsidP="00583079">
      <w:pPr>
        <w:numPr>
          <w:ilvl w:val="0"/>
          <w:numId w:val="3"/>
        </w:numPr>
        <w:spacing w:after="240" w:line="276" w:lineRule="auto"/>
        <w:ind w:left="709" w:right="-11" w:hanging="709"/>
        <w:jc w:val="both"/>
      </w:pPr>
      <w:r w:rsidRPr="00EE2A77">
        <w:rPr>
          <w:b/>
          <w:bCs/>
        </w:rPr>
        <w:t>Jogorvoslat: Valamennyi hatóság elismeri, hogy az az érintett, aki úgy véli, hogy a hatóság nem tartotta be a jelen megállapodásban meghatározott biztosítékokat,</w:t>
      </w:r>
      <w:r w:rsidRPr="00EE2A77">
        <w:t xml:space="preserve"> vagy aki úgy véli, hogy személyes adatait adatvédelmi incidens érte, az alkalmazandó jogi követelmények által megengedett mértékben jogorvoslattal élhet az adott hatósággal szemben. Ez a jogorvoslat bármely illetékes szerv előtt igénybe vehető, amely magában foglalhatja a bíróságot is, azon joghatóság alkalmazandó jogi követelményeivel összhangban, ahol a</w:t>
      </w:r>
      <w:r w:rsidR="00621144">
        <w:t xml:space="preserve"> jelen</w:t>
      </w:r>
      <w:r w:rsidR="00621144" w:rsidRPr="00EE2A77">
        <w:t xml:space="preserve"> </w:t>
      </w:r>
      <w:r w:rsidRPr="00EE2A77">
        <w:t xml:space="preserve">megállapodásban foglalt biztosítékok állítólagos be nem tartása történt. Ez a jogorvoslat magában foglalhat pénzbeli kártérítést is. </w:t>
      </w:r>
    </w:p>
    <w:p w14:paraId="3C56F2A1" w14:textId="77777777" w:rsidR="00996B1A" w:rsidRPr="00EE2A77" w:rsidRDefault="00383F2B" w:rsidP="00583079">
      <w:pPr>
        <w:spacing w:after="240" w:line="276" w:lineRule="auto"/>
        <w:ind w:left="709" w:right="-11" w:firstLine="0"/>
        <w:jc w:val="both"/>
      </w:pPr>
      <w:r w:rsidRPr="00EE2A77">
        <w:t xml:space="preserve">Abban az esetben, ha az érintett személyes adatainak kezelésével kapcsolatban az érintett által az átadó hatósággal, az átvevő hatósággal vagy mindkét hatósággal szemben vita vagy követelés merül fel, a hatóságok tájékoztatják egymást az ilyen vitákról vagy követelésekről, és mindent megtesznek a vita vagy követelés időben történő békés rendezése érdekében. </w:t>
      </w:r>
    </w:p>
    <w:p w14:paraId="152A69D3" w14:textId="38C49B7E" w:rsidR="00996B1A" w:rsidRPr="00EE2A77" w:rsidRDefault="00383F2B" w:rsidP="00583079">
      <w:pPr>
        <w:spacing w:after="240" w:line="276" w:lineRule="auto"/>
        <w:ind w:left="709" w:right="-11" w:firstLine="0"/>
        <w:jc w:val="both"/>
      </w:pPr>
      <w:r w:rsidRPr="00EE2A77">
        <w:t>Ha a hatóság vagy hatóságok nem tudják az ügyet az érintettel rendezni, a hatóságok más módszereket alkalmaznak a vita rendezésére, kivéve, ha az érintett kérelmei nyilvánvalóan megalapozatlanok vagy túlzóak. Ilyen módszer például az érintett vagy az érintett hatóság által kezdeményezett nem kötelező erejű közvetítői vagy egyéb nem kötelező erejű vitarendezési eljárásban való részvétel. Az ilyen közvetítésben vagy eljárásban való részvétel távol</w:t>
      </w:r>
      <w:r w:rsidR="000E46B4">
        <w:t>i</w:t>
      </w:r>
      <w:r w:rsidRPr="00EE2A77">
        <w:t xml:space="preserve"> </w:t>
      </w:r>
      <w:r w:rsidR="000E46B4">
        <w:t xml:space="preserve">eléréssel </w:t>
      </w:r>
      <w:r w:rsidRPr="00EE2A77">
        <w:t xml:space="preserve">is történhet (például telefonon vagy más elektronikus úton). </w:t>
      </w:r>
    </w:p>
    <w:p w14:paraId="5761CE08" w14:textId="0A50CE2A" w:rsidR="00996B1A" w:rsidRPr="00EE2A77" w:rsidRDefault="00383F2B" w:rsidP="00583079">
      <w:pPr>
        <w:spacing w:after="240" w:line="276" w:lineRule="auto"/>
        <w:ind w:left="709" w:right="-11" w:firstLine="0"/>
        <w:jc w:val="both"/>
      </w:pPr>
      <w:r w:rsidRPr="00EE2A77">
        <w:t xml:space="preserve">Ha az ügyet nem sikerül megoldani a hatóságok együttműködésével, </w:t>
      </w:r>
      <w:r w:rsidR="000E46B4">
        <w:t xml:space="preserve">vagy </w:t>
      </w:r>
      <w:r w:rsidRPr="00EE2A77">
        <w:t>nem kötelező érvényű közvetítéssel</w:t>
      </w:r>
      <w:r w:rsidR="000E46B4">
        <w:t>, illetve</w:t>
      </w:r>
      <w:r w:rsidRPr="00EE2A77">
        <w:t xml:space="preserve"> más, nem kötelező érvényű vitarendezési eljárással, az átvevő hatóság erről jelentést tesz az értékelő csoportnak és az átadó hatóságnak a</w:t>
      </w:r>
      <w:r w:rsidR="00621144">
        <w:t xml:space="preserve"> jelen</w:t>
      </w:r>
      <w:r w:rsidR="00621144" w:rsidRPr="00EE2A77">
        <w:t xml:space="preserve"> </w:t>
      </w:r>
      <w:r w:rsidRPr="00EE2A77">
        <w:t>megállapodás IV. szakaszában foglaltak szerint. Azokban az esetekben, amikor az érintett aggályokat vet fel, és az átadó hatóság úgy véli, hogy az átvevő hatóság nem a</w:t>
      </w:r>
      <w:r w:rsidR="00621144">
        <w:t xml:space="preserve"> jelen</w:t>
      </w:r>
      <w:r w:rsidR="00621144" w:rsidRPr="00EE2A77">
        <w:t xml:space="preserve"> </w:t>
      </w:r>
      <w:r w:rsidRPr="00EE2A77">
        <w:t xml:space="preserve">megállapodásban meghatározott biztosítékokkal összhangban járt el, az átadó hatóság felfüggeszti a személyes adatok </w:t>
      </w:r>
      <w:r w:rsidR="00621144">
        <w:t>jelen</w:t>
      </w:r>
      <w:r w:rsidR="00621144" w:rsidRPr="00EE2A77">
        <w:t xml:space="preserve"> </w:t>
      </w:r>
      <w:r w:rsidRPr="00EE2A77">
        <w:t xml:space="preserve">megállapodás szerinti átadását az átvevő hatóságnak mindaddig, amíg meg nem állapítja, hogy az átvevő hatóság a kérdést kielégítően rendezte, és erről tájékoztatja az érintettet. </w:t>
      </w:r>
    </w:p>
    <w:p w14:paraId="6D1DE2C7" w14:textId="77777777" w:rsidR="00D825D5" w:rsidRPr="00EE2A77" w:rsidRDefault="00D825D5" w:rsidP="00583079">
      <w:pPr>
        <w:spacing w:after="240" w:line="276" w:lineRule="auto"/>
        <w:ind w:left="0" w:right="-11" w:firstLine="0"/>
        <w:jc w:val="both"/>
      </w:pPr>
    </w:p>
    <w:p w14:paraId="0B5C237D" w14:textId="77777777" w:rsidR="00996B1A" w:rsidRPr="00EE2A77" w:rsidRDefault="00383F2B" w:rsidP="00583079">
      <w:pPr>
        <w:pStyle w:val="Cmsor1"/>
        <w:spacing w:after="240" w:line="276" w:lineRule="auto"/>
        <w:ind w:left="0" w:right="-11" w:firstLine="0"/>
        <w:jc w:val="both"/>
      </w:pPr>
      <w:r w:rsidRPr="00EE2A77">
        <w:rPr>
          <w:bCs/>
        </w:rPr>
        <w:t>Felügyelet</w:t>
      </w:r>
      <w:r w:rsidRPr="00EE2A77">
        <w:rPr>
          <w:b w:val="0"/>
        </w:rPr>
        <w:t xml:space="preserve"> </w:t>
      </w:r>
    </w:p>
    <w:p w14:paraId="2EC8BF61" w14:textId="7E67BBBE" w:rsidR="00996B1A" w:rsidRPr="00EE2A77" w:rsidRDefault="00383F2B" w:rsidP="000A55CB">
      <w:pPr>
        <w:numPr>
          <w:ilvl w:val="0"/>
          <w:numId w:val="4"/>
        </w:numPr>
        <w:spacing w:after="240" w:line="276" w:lineRule="auto"/>
        <w:ind w:left="709" w:right="-11" w:hanging="425"/>
        <w:jc w:val="both"/>
      </w:pPr>
      <w:r w:rsidRPr="00EE2A77">
        <w:t>Minden hatóság rendszeres időközönként felülvizsgálja a</w:t>
      </w:r>
      <w:r w:rsidR="00621144">
        <w:t xml:space="preserve"> jelen</w:t>
      </w:r>
      <w:r w:rsidR="00621144" w:rsidRPr="00EE2A77">
        <w:t xml:space="preserve"> </w:t>
      </w:r>
      <w:r w:rsidRPr="00EE2A77">
        <w:t>megállapodást végrehajtó saját szabályzatait és eljárásait valamint azok hatékonyságát, és ezek eredményeit közli az alábbi IV. szakasz (4) bekezdésében leírt értékelő csoporttal. Egy másik hatóság ésszerű kérésére a hatóság felülvizsgálja a személyes adatok feldolgozására vonatkozó szabályzatait és eljárásait annak megállapítása és megerősítése érdekében, hogy a</w:t>
      </w:r>
      <w:r w:rsidR="00621144">
        <w:t xml:space="preserve"> jelen</w:t>
      </w:r>
      <w:r w:rsidR="00621144" w:rsidRPr="00EE2A77">
        <w:t xml:space="preserve"> </w:t>
      </w:r>
      <w:r w:rsidRPr="00EE2A77">
        <w:t xml:space="preserve">megállapodásban foglalt biztosítékokat hatékonyan alkalmazzák. A felülvizsgálat eredményéről tájékoztatják a felülvizsgálatot kérő hatóságot. </w:t>
      </w:r>
    </w:p>
    <w:p w14:paraId="73B51D32" w14:textId="2910856C" w:rsidR="00996B1A" w:rsidRPr="00EE2A77" w:rsidRDefault="00383F2B" w:rsidP="000142EF">
      <w:pPr>
        <w:numPr>
          <w:ilvl w:val="0"/>
          <w:numId w:val="4"/>
        </w:numPr>
        <w:spacing w:after="240" w:line="276" w:lineRule="auto"/>
        <w:ind w:left="709" w:right="-11" w:hanging="425"/>
        <w:jc w:val="both"/>
      </w:pPr>
      <w:r w:rsidRPr="00EE2A77">
        <w:t>Abban az esetben, ha az átvevő hatóság bármely okból nem képes hatékonyan alkalmazni a</w:t>
      </w:r>
      <w:r w:rsidR="00621144">
        <w:t xml:space="preserve"> jelen</w:t>
      </w:r>
      <w:r w:rsidR="00621144" w:rsidRPr="00EE2A77">
        <w:t xml:space="preserve"> </w:t>
      </w:r>
      <w:r w:rsidR="00621144">
        <w:t>m</w:t>
      </w:r>
      <w:r w:rsidRPr="00EE2A77">
        <w:t>egállapodásban foglalt biztosítékokat, erről haladéktalanul tájékoztatja az átadó hatóságot és az alábbi IV. szakasz (4) bekezdésében leírt értékelő csoportot, amely esetben az átadó hatóság ideiglenesen felfüggeszti a személyes adatoknak a</w:t>
      </w:r>
      <w:r w:rsidR="00621144">
        <w:t xml:space="preserve"> jelen</w:t>
      </w:r>
      <w:r w:rsidR="00621144" w:rsidRPr="00EE2A77">
        <w:t xml:space="preserve"> </w:t>
      </w:r>
      <w:r w:rsidRPr="00EE2A77">
        <w:t xml:space="preserve">megállapodás szerinti átadását az átvevő hatóság számára mindaddig, amíg az átvevő hatóság nem tájékoztatja az átadó hatóságot arról, hogy ismét képes a biztosítékokkal összhangban eljárni. </w:t>
      </w:r>
    </w:p>
    <w:p w14:paraId="2F956A9F" w14:textId="0B695C4E" w:rsidR="00996B1A" w:rsidRPr="00EE2A77" w:rsidRDefault="00383F2B" w:rsidP="000142EF">
      <w:pPr>
        <w:numPr>
          <w:ilvl w:val="0"/>
          <w:numId w:val="4"/>
        </w:numPr>
        <w:spacing w:after="240" w:line="276" w:lineRule="auto"/>
        <w:ind w:left="709" w:right="-11" w:hanging="425"/>
        <w:jc w:val="both"/>
      </w:pPr>
      <w:r w:rsidRPr="00EE2A77">
        <w:t>Amennyiben az átvevő hatóság nem hajlandó vagy nem képes alkalmazni a</w:t>
      </w:r>
      <w:r w:rsidR="00621144">
        <w:t xml:space="preserve"> jelen</w:t>
      </w:r>
      <w:r w:rsidR="00621144" w:rsidRPr="00EE2A77">
        <w:t xml:space="preserve"> </w:t>
      </w:r>
      <w:r w:rsidRPr="00EE2A77">
        <w:t xml:space="preserve">megállapodás III. szakaszának (8) bekezdésében említett nem kötelező erejű közvetítés vagy egyéb nem kötelező erejű vitarendezési eljárás eredményét, erről haladéktalanul tájékoztatja az átadó hatóságot és az alábbi IV. szakasz (4) bekezdésében leírt értékelő csoportot. </w:t>
      </w:r>
    </w:p>
    <w:p w14:paraId="47214C42" w14:textId="26C5CF2B" w:rsidR="00996B1A" w:rsidRPr="00EE2A77" w:rsidRDefault="00383F2B" w:rsidP="000142EF">
      <w:pPr>
        <w:numPr>
          <w:ilvl w:val="0"/>
          <w:numId w:val="4"/>
        </w:numPr>
        <w:spacing w:after="240" w:line="276" w:lineRule="auto"/>
        <w:ind w:left="709" w:right="-11" w:hanging="425"/>
        <w:jc w:val="both"/>
      </w:pPr>
      <w:r w:rsidRPr="00EE2A77">
        <w:t>Az Értékpapír-felügyeletek Nemzetközi Szervezete (IOSCO) által a hatóságok albizottságaként létrehozott értékelő csoport („értékelő csoport”) rendszeres időközönként felülvizsgálja a</w:t>
      </w:r>
      <w:r w:rsidR="00621144">
        <w:t xml:space="preserve"> jelen</w:t>
      </w:r>
      <w:r w:rsidR="00621144" w:rsidRPr="00EE2A77">
        <w:t xml:space="preserve"> </w:t>
      </w:r>
      <w:r w:rsidRPr="00EE2A77">
        <w:t xml:space="preserve">megállapodásban foglalt biztosítékok végrehajtását, és a személyes adatok védelmének szükség szerinti további javítása érdekében megvizsgálja a bevált gyakorlatokat. Ha az értesítést és a meghallgatás lehetőségét követően az értékelő csoport megállapítja, hogy valamely hatóság hajlandósága vagy képessége bizonyítottan megváltozott arra vonatkozóan, hogy </w:t>
      </w:r>
      <w:r w:rsidR="00621144">
        <w:t>jelen</w:t>
      </w:r>
      <w:r w:rsidRPr="00EE2A77">
        <w:t xml:space="preserve"> megállapodás rendelkezéseivel összhangban járjon el, az értékelő csoport erről tájékoztatja az összes többi hatóságot. Felülvizsgálata során az értékelő csoport kellő figyelmet fordít azokra az információkra, amelyeket a fogadó hatóság, amely nem hajlandó vagy nem képes végrehajtani a</w:t>
      </w:r>
      <w:r w:rsidR="00621144">
        <w:t xml:space="preserve"> jelen</w:t>
      </w:r>
      <w:r w:rsidR="00621144" w:rsidRPr="00EE2A77">
        <w:t xml:space="preserve"> </w:t>
      </w:r>
      <w:r w:rsidRPr="00EE2A77">
        <w:t xml:space="preserve">megállapodás III. szakaszának (8) bekezdésében említett nem kötelező erejű közvetítői vagy egyéb nem kötelező erejű vitarendezési eljárás eredményét, előterjeszt. Az ilyen eljárásokban szereplő érintettekre vonatkozó személyes adatokat elvileg </w:t>
      </w:r>
      <w:proofErr w:type="spellStart"/>
      <w:r w:rsidRPr="00EE2A77">
        <w:t>anonimizálják</w:t>
      </w:r>
      <w:proofErr w:type="spellEnd"/>
      <w:r w:rsidRPr="00EE2A77">
        <w:t>, mielőtt az értékelő csoport rendelkezésére bocsátják. Ezen túlmenően az értékelő csoport ajánlásokat dolgozhat ki a hatóság személyes adatok védelmére vonatkozó szabályzatainak és eljárásainak fejlesztésére vonatkozóan.</w:t>
      </w:r>
    </w:p>
    <w:p w14:paraId="75BA6D37" w14:textId="77C89AC5" w:rsidR="00996B1A" w:rsidRPr="00EE2A77" w:rsidRDefault="00383F2B" w:rsidP="00DD16D9">
      <w:pPr>
        <w:numPr>
          <w:ilvl w:val="0"/>
          <w:numId w:val="4"/>
        </w:numPr>
        <w:spacing w:after="240" w:line="276" w:lineRule="auto"/>
        <w:ind w:left="709" w:right="-11" w:hanging="425"/>
        <w:jc w:val="both"/>
      </w:pPr>
      <w:r w:rsidRPr="00EE2A77">
        <w:t>Ha az értékelő csoport lényeges hiányosságokat talál a hatóság által a biztosítékok végrehajtása érdekében alkalmazott szabályzatokban és eljárásokban, írásos ajánlásokat tesz a hatóságnak. Ha az értékelő csoport úgy ítéli meg, hogy a lényeges hiányosságokat nem kezelik, és hogy a hatóság hajlandósága vagy képessége bizonyítottan megváltozott a</w:t>
      </w:r>
      <w:r w:rsidR="00621144">
        <w:t xml:space="preserve"> jelen</w:t>
      </w:r>
      <w:r w:rsidR="00621144" w:rsidRPr="00EE2A77">
        <w:t xml:space="preserve"> </w:t>
      </w:r>
      <w:r w:rsidRPr="00EE2A77">
        <w:t xml:space="preserve">megállapodással összhangban történő fellépésre, az értesítést és a meghallgatás lehetőségét követően ajánlhatja az AA döntéshozó csoportnak, hogy a hatóság </w:t>
      </w:r>
      <w:r w:rsidR="00621144">
        <w:t>jelen</w:t>
      </w:r>
      <w:r w:rsidRPr="00EE2A77">
        <w:t xml:space="preserve"> megállapodásban való részvételét szüntessék meg. Az </w:t>
      </w:r>
      <w:r w:rsidRPr="00EE2A77">
        <w:lastRenderedPageBreak/>
        <w:t xml:space="preserve">AA döntéshozó csoport bármely határozata ellen a hatóság vagy az értékelő csoport fellebbezhet az IOSCO igazgatótanácsának hatósági tagjánál. </w:t>
      </w:r>
    </w:p>
    <w:p w14:paraId="7B2BD699" w14:textId="179B879E" w:rsidR="00996B1A" w:rsidRDefault="00383F2B" w:rsidP="00DD16D9">
      <w:pPr>
        <w:numPr>
          <w:ilvl w:val="0"/>
          <w:numId w:val="4"/>
        </w:numPr>
        <w:spacing w:after="240" w:line="276" w:lineRule="auto"/>
        <w:ind w:left="709" w:right="-11" w:hanging="425"/>
        <w:jc w:val="both"/>
      </w:pPr>
      <w:r w:rsidRPr="00EE2A77">
        <w:t>Azokban az esetekben, amikor az átadó hatóság úgy véli, hogy az átvevő hatóság nem a</w:t>
      </w:r>
      <w:r w:rsidR="00621144">
        <w:t xml:space="preserve"> jelen</w:t>
      </w:r>
      <w:r w:rsidR="00621144" w:rsidRPr="00EE2A77">
        <w:t xml:space="preserve"> </w:t>
      </w:r>
      <w:r w:rsidRPr="00EE2A77">
        <w:t xml:space="preserve">megállapodásban meghatározott biztosítékokkal összhangban járt el, az átadó hatóság felfüggeszti a személyes adatok átadását az átvevő hatóságnak </w:t>
      </w:r>
      <w:r w:rsidR="00621144">
        <w:t>jelen</w:t>
      </w:r>
      <w:r w:rsidRPr="00EE2A77">
        <w:t xml:space="preserve"> megállapodás alapján mindaddig, amíg az átvevő hatóság a kérdést kielégítően nem rendezi. Abban az esetben, ha az átadó hatóság felfüggeszti a személyes adatok átadását az átvevő hatóságnak a IV. szakasz jelen (6) bekezdése vagy a IV. szakasz fenti (2) bekezdése alapján, vagy a felfüggesztést követően folytatja az átadást, haladéktalanul tájékoztatja az értékelő csoportot, amely pedig tájékoztatja az összes többi hatóságot. </w:t>
      </w:r>
    </w:p>
    <w:p w14:paraId="44AE73BE" w14:textId="77777777" w:rsidR="00475520" w:rsidRPr="00EE2A77" w:rsidRDefault="00475520" w:rsidP="00475520">
      <w:pPr>
        <w:spacing w:after="240" w:line="276" w:lineRule="auto"/>
        <w:ind w:left="0" w:right="-11" w:firstLine="0"/>
        <w:jc w:val="both"/>
      </w:pPr>
    </w:p>
    <w:p w14:paraId="5BD4A1AB" w14:textId="77777777" w:rsidR="00996B1A" w:rsidRPr="00EE2A77" w:rsidRDefault="00383F2B" w:rsidP="00583079">
      <w:pPr>
        <w:pStyle w:val="Cmsor1"/>
        <w:spacing w:after="240" w:line="276" w:lineRule="auto"/>
        <w:ind w:left="0" w:right="-11" w:firstLine="0"/>
        <w:jc w:val="both"/>
      </w:pPr>
      <w:r w:rsidRPr="00EE2A77">
        <w:rPr>
          <w:bCs/>
        </w:rPr>
        <w:t>Felülvizsgálat és megszüntetés</w:t>
      </w:r>
      <w:r w:rsidRPr="00EE2A77">
        <w:rPr>
          <w:b w:val="0"/>
        </w:rPr>
        <w:t xml:space="preserve"> </w:t>
      </w:r>
    </w:p>
    <w:p w14:paraId="074B0127" w14:textId="1CBC5C20" w:rsidR="00996B1A" w:rsidRPr="00EE2A77" w:rsidRDefault="00383F2B" w:rsidP="000A55CB">
      <w:pPr>
        <w:numPr>
          <w:ilvl w:val="0"/>
          <w:numId w:val="8"/>
        </w:numPr>
        <w:spacing w:after="240" w:line="276" w:lineRule="auto"/>
        <w:ind w:left="709" w:right="-11" w:hanging="465"/>
        <w:jc w:val="both"/>
      </w:pPr>
      <w:r w:rsidRPr="00EE2A77">
        <w:t xml:space="preserve">A hatóságok konzultálhatnak és közös megegyezéssel felülvizsgálhatják </w:t>
      </w:r>
      <w:r w:rsidR="00621144">
        <w:t>jelen</w:t>
      </w:r>
      <w:r w:rsidRPr="00EE2A77">
        <w:t xml:space="preserve"> megállapodás feltételeit abban az esetben, ha a megállapodás működését befolyásoló törvényekben, rendeletekben vagy gyakorlatokban lényeges változás következik be.</w:t>
      </w:r>
    </w:p>
    <w:p w14:paraId="6377FB73" w14:textId="681C6E46" w:rsidR="00996B1A" w:rsidRPr="00EE2A77" w:rsidRDefault="00383F2B" w:rsidP="000142EF">
      <w:pPr>
        <w:numPr>
          <w:ilvl w:val="0"/>
          <w:numId w:val="8"/>
        </w:numPr>
        <w:spacing w:after="240" w:line="276" w:lineRule="auto"/>
        <w:ind w:left="709" w:right="-11" w:hanging="425"/>
        <w:jc w:val="both"/>
      </w:pPr>
      <w:r w:rsidRPr="00EE2A77">
        <w:t xml:space="preserve">Egy hatóság bármikor megszüntetheti részvételét ebben a megállapodásban egy másik hatóság vagy hatóságok </w:t>
      </w:r>
      <w:r w:rsidR="009E3D60">
        <w:t>tekinteté</w:t>
      </w:r>
      <w:r w:rsidRPr="00EE2A77">
        <w:t>ben. Törekednie kell arra, hogy erre irányuló szándékáról 30 nappal korábban írásban értesítse a másik hatóságot vagy hatóságokat. A</w:t>
      </w:r>
      <w:r w:rsidR="00621144">
        <w:t xml:space="preserve"> jelen</w:t>
      </w:r>
      <w:r w:rsidR="00621144" w:rsidRPr="00EE2A77">
        <w:t xml:space="preserve"> </w:t>
      </w:r>
      <w:r w:rsidRPr="00EE2A77">
        <w:t>megállapodás alapján már továbbított személyes adatokat továbbra is a</w:t>
      </w:r>
      <w:r w:rsidR="00621144">
        <w:t xml:space="preserve"> jelen</w:t>
      </w:r>
      <w:r w:rsidR="00621144" w:rsidRPr="00EE2A77">
        <w:t xml:space="preserve"> </w:t>
      </w:r>
      <w:r w:rsidRPr="00EE2A77">
        <w:t>megállapodásban előírt biztosítékokkal összhangban kezelik.</w:t>
      </w:r>
    </w:p>
    <w:p w14:paraId="0CF65328" w14:textId="739B1477" w:rsidR="00996B1A" w:rsidRPr="00EE2A77" w:rsidRDefault="00383F2B" w:rsidP="000142EF">
      <w:pPr>
        <w:numPr>
          <w:ilvl w:val="0"/>
          <w:numId w:val="8"/>
        </w:numPr>
        <w:spacing w:after="240" w:line="276" w:lineRule="auto"/>
        <w:ind w:left="709" w:right="-11" w:hanging="425"/>
        <w:jc w:val="both"/>
      </w:pPr>
      <w:r w:rsidRPr="00EE2A77">
        <w:t xml:space="preserve">Az IOSCO értesíti az Európai Adatvédelmi Testületet, illetve az </w:t>
      </w:r>
      <w:r w:rsidR="000142EF">
        <w:t>ESMA</w:t>
      </w:r>
      <w:r w:rsidR="00475520">
        <w:t xml:space="preserve"> </w:t>
      </w:r>
      <w:r w:rsidRPr="00EE2A77">
        <w:t xml:space="preserve">esetében az európai adatvédelmi biztost </w:t>
      </w:r>
      <w:r w:rsidR="00621144">
        <w:t>jelen</w:t>
      </w:r>
      <w:r w:rsidRPr="00EE2A77">
        <w:t xml:space="preserve"> megállapodás javasolt lényeges módosításairól vagy megszüntetéséről.</w:t>
      </w:r>
    </w:p>
    <w:p w14:paraId="60E0D9FB" w14:textId="77777777" w:rsidR="00996B1A" w:rsidRPr="00EE2A77" w:rsidRDefault="00383F2B" w:rsidP="00583079">
      <w:pPr>
        <w:spacing w:after="240" w:line="276" w:lineRule="auto"/>
        <w:ind w:left="0" w:right="-11" w:firstLine="0"/>
        <w:jc w:val="both"/>
      </w:pPr>
      <w:r w:rsidRPr="00EE2A77">
        <w:t xml:space="preserve"> </w:t>
      </w:r>
    </w:p>
    <w:sectPr w:rsidR="00996B1A" w:rsidRPr="00EE2A77">
      <w:footerReference w:type="even" r:id="rId8"/>
      <w:footerReference w:type="default" r:id="rId9"/>
      <w:footerReference w:type="first" r:id="rId10"/>
      <w:footnotePr>
        <w:numRestart w:val="eachPage"/>
      </w:footnotePr>
      <w:pgSz w:w="11911" w:h="16841"/>
      <w:pgMar w:top="668" w:right="1407" w:bottom="931" w:left="115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DB4E" w14:textId="77777777" w:rsidR="00CC6B03" w:rsidRDefault="00CC6B03">
      <w:pPr>
        <w:spacing w:after="0" w:line="240" w:lineRule="auto"/>
      </w:pPr>
      <w:r>
        <w:separator/>
      </w:r>
    </w:p>
  </w:endnote>
  <w:endnote w:type="continuationSeparator" w:id="0">
    <w:p w14:paraId="492A1816" w14:textId="77777777" w:rsidR="00CC6B03" w:rsidRDefault="00CC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1FBE" w14:textId="77777777" w:rsidR="00996B1A" w:rsidRDefault="00383F2B">
    <w:pPr>
      <w:spacing w:after="0" w:line="259" w:lineRule="auto"/>
      <w:ind w:left="0" w:right="14" w:firstLine="0"/>
      <w:jc w:val="right"/>
    </w:pPr>
    <w:r>
      <w:rPr>
        <w:lang w:val="hu"/>
      </w:rPr>
      <w:fldChar w:fldCharType="begin"/>
    </w:r>
    <w:r>
      <w:rPr>
        <w:lang w:val="hu"/>
      </w:rPr>
      <w:instrText xml:space="preserve"> PAGE   \* MERGEFORMAT </w:instrText>
    </w:r>
    <w:r>
      <w:rPr>
        <w:lang w:val="hu"/>
      </w:rPr>
      <w:fldChar w:fldCharType="separate"/>
    </w:r>
    <w:r>
      <w:rPr>
        <w:lang w:val="hu"/>
      </w:rPr>
      <w:t>2</w:t>
    </w:r>
    <w:r>
      <w:rPr>
        <w:lang w:val="hu"/>
      </w:rPr>
      <w:fldChar w:fldCharType="end"/>
    </w:r>
    <w:r>
      <w:rPr>
        <w:lang w:val="h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44B0" w14:textId="77777777" w:rsidR="00996B1A" w:rsidRDefault="00383F2B">
    <w:pPr>
      <w:spacing w:after="0" w:line="259" w:lineRule="auto"/>
      <w:ind w:left="0" w:right="14" w:firstLine="0"/>
      <w:jc w:val="right"/>
    </w:pPr>
    <w:r>
      <w:rPr>
        <w:lang w:val="hu"/>
      </w:rPr>
      <w:fldChar w:fldCharType="begin"/>
    </w:r>
    <w:r>
      <w:rPr>
        <w:lang w:val="hu"/>
      </w:rPr>
      <w:instrText xml:space="preserve"> PAGE   \* MERGEFORMAT </w:instrText>
    </w:r>
    <w:r>
      <w:rPr>
        <w:lang w:val="hu"/>
      </w:rPr>
      <w:fldChar w:fldCharType="separate"/>
    </w:r>
    <w:r w:rsidR="00981366">
      <w:rPr>
        <w:noProof/>
        <w:lang w:val="hu"/>
      </w:rPr>
      <w:t>9</w:t>
    </w:r>
    <w:r>
      <w:rPr>
        <w:lang w:val="hu"/>
      </w:rPr>
      <w:fldChar w:fldCharType="end"/>
    </w:r>
    <w:r>
      <w:rPr>
        <w:lang w:val="h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7FCF" w14:textId="77777777" w:rsidR="00996B1A" w:rsidRDefault="00996B1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4D5D" w14:textId="77777777" w:rsidR="00CC6B03" w:rsidRDefault="00CC6B03">
      <w:pPr>
        <w:spacing w:after="0" w:line="259" w:lineRule="auto"/>
        <w:ind w:left="259" w:firstLine="0"/>
      </w:pPr>
      <w:r>
        <w:separator/>
      </w:r>
    </w:p>
  </w:footnote>
  <w:footnote w:type="continuationSeparator" w:id="0">
    <w:p w14:paraId="04EA62C5" w14:textId="77777777" w:rsidR="00CC6B03" w:rsidRDefault="00CC6B03">
      <w:pPr>
        <w:spacing w:after="0" w:line="259" w:lineRule="auto"/>
        <w:ind w:left="259" w:firstLine="0"/>
      </w:pPr>
      <w:r>
        <w:continuationSeparator/>
      </w:r>
    </w:p>
  </w:footnote>
  <w:footnote w:id="1">
    <w:p w14:paraId="68B0B516" w14:textId="0B2C4B70" w:rsidR="008623EF" w:rsidRPr="008623EF" w:rsidRDefault="008623EF">
      <w:pPr>
        <w:pStyle w:val="Lbjegyzetszveg"/>
        <w:rPr>
          <w:sz w:val="16"/>
          <w:szCs w:val="16"/>
        </w:rPr>
      </w:pPr>
      <w:r>
        <w:rPr>
          <w:rStyle w:val="Lbjegyzet-hivatkozs"/>
        </w:rPr>
        <w:footnoteRef/>
      </w:r>
      <w:r>
        <w:t xml:space="preserve"> </w:t>
      </w:r>
      <w:r w:rsidRPr="008623EF">
        <w:rPr>
          <w:sz w:val="16"/>
          <w:szCs w:val="16"/>
        </w:rPr>
        <w:t xml:space="preserve">Nem hivatalos </w:t>
      </w:r>
      <w:r>
        <w:rPr>
          <w:sz w:val="16"/>
          <w:szCs w:val="16"/>
        </w:rPr>
        <w:t>magyar nyelvű fordítás. Az ’</w:t>
      </w:r>
      <w:proofErr w:type="spellStart"/>
      <w:r>
        <w:rPr>
          <w:sz w:val="16"/>
          <w:szCs w:val="16"/>
        </w:rPr>
        <w:t>Administrative</w:t>
      </w:r>
      <w:proofErr w:type="spellEnd"/>
      <w:r>
        <w:rPr>
          <w:sz w:val="16"/>
          <w:szCs w:val="16"/>
        </w:rPr>
        <w:t xml:space="preserve"> </w:t>
      </w:r>
      <w:proofErr w:type="spellStart"/>
      <w:r>
        <w:rPr>
          <w:sz w:val="16"/>
          <w:szCs w:val="16"/>
        </w:rPr>
        <w:t>Arrangement</w:t>
      </w:r>
      <w:proofErr w:type="spellEnd"/>
      <w:r>
        <w:rPr>
          <w:sz w:val="16"/>
          <w:szCs w:val="16"/>
        </w:rPr>
        <w:t xml:space="preserve">’ eredeti, angol nyelvű változata az alábbi linken érhető el: </w:t>
      </w:r>
      <w:hyperlink r:id="rId1" w:history="1">
        <w:r w:rsidRPr="00044BB6">
          <w:rPr>
            <w:rStyle w:val="Hiperhivatkozs"/>
            <w:sz w:val="16"/>
            <w:szCs w:val="16"/>
          </w:rPr>
          <w:t>https://www.iosco.org/about/?subsection=administrative_arrangement</w:t>
        </w:r>
      </w:hyperlink>
      <w:r>
        <w:rPr>
          <w:sz w:val="16"/>
          <w:szCs w:val="16"/>
        </w:rPr>
        <w:t xml:space="preserve"> </w:t>
      </w:r>
    </w:p>
  </w:footnote>
  <w:footnote w:id="2">
    <w:p w14:paraId="274DC524" w14:textId="72387226" w:rsidR="00BC1C7A" w:rsidRPr="00583079" w:rsidRDefault="00BC1C7A">
      <w:pPr>
        <w:pStyle w:val="Lbjegyzetszveg"/>
        <w:rPr>
          <w:sz w:val="16"/>
          <w:szCs w:val="16"/>
        </w:rPr>
      </w:pPr>
      <w:r>
        <w:rPr>
          <w:rStyle w:val="Lbjegyzet-hivatkozs"/>
        </w:rPr>
        <w:footnoteRef/>
      </w:r>
      <w:r>
        <w:t xml:space="preserve"> </w:t>
      </w:r>
      <w:r w:rsidRPr="00583079">
        <w:rPr>
          <w:sz w:val="16"/>
          <w:szCs w:val="16"/>
        </w:rPr>
        <w:t xml:space="preserve">Az IOSCO többoldalú együttműködési megállapodás (IOSCO </w:t>
      </w:r>
      <w:proofErr w:type="spellStart"/>
      <w:r w:rsidRPr="00583079">
        <w:rPr>
          <w:sz w:val="16"/>
          <w:szCs w:val="16"/>
        </w:rPr>
        <w:t>Multilateral</w:t>
      </w:r>
      <w:proofErr w:type="spellEnd"/>
      <w:r w:rsidRPr="00583079">
        <w:rPr>
          <w:sz w:val="16"/>
          <w:szCs w:val="16"/>
        </w:rPr>
        <w:t xml:space="preserve"> Memorandum of </w:t>
      </w:r>
      <w:proofErr w:type="spellStart"/>
      <w:r w:rsidRPr="00583079">
        <w:rPr>
          <w:sz w:val="16"/>
          <w:szCs w:val="16"/>
        </w:rPr>
        <w:t>Understanding</w:t>
      </w:r>
      <w:proofErr w:type="spellEnd"/>
      <w:r w:rsidRPr="00583079">
        <w:rPr>
          <w:sz w:val="16"/>
          <w:szCs w:val="16"/>
        </w:rPr>
        <w:t xml:space="preserve"> – M</w:t>
      </w:r>
      <w:r>
        <w:rPr>
          <w:sz w:val="16"/>
          <w:szCs w:val="16"/>
        </w:rPr>
        <w:t>M</w:t>
      </w:r>
      <w:r w:rsidRPr="00583079">
        <w:rPr>
          <w:sz w:val="16"/>
          <w:szCs w:val="16"/>
        </w:rPr>
        <w:t xml:space="preserve">oU) </w:t>
      </w:r>
      <w:r>
        <w:rPr>
          <w:sz w:val="16"/>
          <w:szCs w:val="16"/>
        </w:rPr>
        <w:t>A. függelékében</w:t>
      </w:r>
    </w:p>
  </w:footnote>
  <w:footnote w:id="3">
    <w:p w14:paraId="666E5D20" w14:textId="57974DE9" w:rsidR="00BC1C7A" w:rsidRPr="00583079" w:rsidRDefault="00BC1C7A">
      <w:pPr>
        <w:pStyle w:val="Lbjegyzetszveg"/>
        <w:rPr>
          <w:sz w:val="16"/>
          <w:szCs w:val="16"/>
        </w:rPr>
      </w:pPr>
      <w:r>
        <w:rPr>
          <w:rStyle w:val="Lbjegyzet-hivatkozs"/>
        </w:rPr>
        <w:footnoteRef/>
      </w:r>
      <w:r>
        <w:t xml:space="preserve"> </w:t>
      </w:r>
      <w:r w:rsidRPr="00583079">
        <w:rPr>
          <w:sz w:val="16"/>
          <w:szCs w:val="16"/>
        </w:rPr>
        <w:t xml:space="preserve">Az IOSCO többoldalú együttműködési megállapodás (IOSCO </w:t>
      </w:r>
      <w:proofErr w:type="spellStart"/>
      <w:r w:rsidRPr="00583079">
        <w:rPr>
          <w:sz w:val="16"/>
          <w:szCs w:val="16"/>
        </w:rPr>
        <w:t>Multilateral</w:t>
      </w:r>
      <w:proofErr w:type="spellEnd"/>
      <w:r w:rsidRPr="00583079">
        <w:rPr>
          <w:sz w:val="16"/>
          <w:szCs w:val="16"/>
        </w:rPr>
        <w:t xml:space="preserve"> Memorandum of </w:t>
      </w:r>
      <w:proofErr w:type="spellStart"/>
      <w:r w:rsidRPr="00583079">
        <w:rPr>
          <w:sz w:val="16"/>
          <w:szCs w:val="16"/>
        </w:rPr>
        <w:t>Understanding</w:t>
      </w:r>
      <w:proofErr w:type="spellEnd"/>
      <w:r w:rsidRPr="00583079">
        <w:rPr>
          <w:sz w:val="16"/>
          <w:szCs w:val="16"/>
        </w:rPr>
        <w:t xml:space="preserve"> – MMoU) </w:t>
      </w:r>
      <w:r>
        <w:rPr>
          <w:sz w:val="16"/>
          <w:szCs w:val="16"/>
        </w:rPr>
        <w:t>B</w:t>
      </w:r>
      <w:r w:rsidRPr="00583079">
        <w:rPr>
          <w:sz w:val="16"/>
          <w:szCs w:val="16"/>
        </w:rPr>
        <w:t>. függelékében</w:t>
      </w:r>
    </w:p>
  </w:footnote>
  <w:footnote w:id="4">
    <w:p w14:paraId="051DDCEB" w14:textId="77777777" w:rsidR="00996B1A" w:rsidRDefault="00383F2B">
      <w:pPr>
        <w:pStyle w:val="footnotedescription"/>
      </w:pPr>
      <w:r>
        <w:rPr>
          <w:rStyle w:val="footnotemark"/>
          <w:lang w:val="hu"/>
        </w:rPr>
        <w:footnoteRef/>
      </w:r>
      <w:r>
        <w:rPr>
          <w:lang w:val="hu"/>
        </w:rPr>
        <w:t xml:space="preserve"> HL L 119/1., 2016.05.04. </w:t>
      </w:r>
    </w:p>
  </w:footnote>
  <w:footnote w:id="5">
    <w:p w14:paraId="65B0E455" w14:textId="77777777" w:rsidR="00996B1A" w:rsidRDefault="00383F2B">
      <w:pPr>
        <w:pStyle w:val="footnotedescription"/>
      </w:pPr>
      <w:r>
        <w:rPr>
          <w:rStyle w:val="footnotemark"/>
          <w:lang w:val="hu"/>
        </w:rPr>
        <w:footnoteRef/>
      </w:r>
      <w:r>
        <w:rPr>
          <w:lang w:val="hu"/>
        </w:rPr>
        <w:t xml:space="preserve"> HL L 295/39., 2018.11.21.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62B2"/>
    <w:multiLevelType w:val="multilevel"/>
    <w:tmpl w:val="14A67A46"/>
    <w:lvl w:ilvl="0">
      <w:start w:val="6"/>
      <w:numFmt w:val="decimal"/>
      <w:lvlText w:val="%1."/>
      <w:lvlJc w:val="left"/>
      <w:pPr>
        <w:ind w:left="6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BE1A7D"/>
    <w:multiLevelType w:val="hybridMultilevel"/>
    <w:tmpl w:val="E856AED8"/>
    <w:lvl w:ilvl="0" w:tplc="140C9036">
      <w:start w:val="1"/>
      <w:numFmt w:val="decimal"/>
      <w:lvlText w:val="%1."/>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F6585E">
      <w:start w:val="1"/>
      <w:numFmt w:val="lowerLetter"/>
      <w:lvlText w:val="%2"/>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8F7D4">
      <w:start w:val="1"/>
      <w:numFmt w:val="lowerRoman"/>
      <w:lvlText w:val="%3"/>
      <w:lvlJc w:val="left"/>
      <w:pPr>
        <w:ind w:left="1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C2235C">
      <w:start w:val="1"/>
      <w:numFmt w:val="decimal"/>
      <w:lvlText w:val="%4"/>
      <w:lvlJc w:val="left"/>
      <w:pPr>
        <w:ind w:left="2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88C8E">
      <w:start w:val="1"/>
      <w:numFmt w:val="lowerLetter"/>
      <w:lvlText w:val="%5"/>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602E6">
      <w:start w:val="1"/>
      <w:numFmt w:val="lowerRoman"/>
      <w:lvlText w:val="%6"/>
      <w:lvlJc w:val="left"/>
      <w:pPr>
        <w:ind w:left="4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A6F7C">
      <w:start w:val="1"/>
      <w:numFmt w:val="decimal"/>
      <w:lvlText w:val="%7"/>
      <w:lvlJc w:val="left"/>
      <w:pPr>
        <w:ind w:left="4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C6F4A">
      <w:start w:val="1"/>
      <w:numFmt w:val="lowerLetter"/>
      <w:lvlText w:val="%8"/>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E2DB8">
      <w:start w:val="1"/>
      <w:numFmt w:val="lowerRoman"/>
      <w:lvlText w:val="%9"/>
      <w:lvlJc w:val="left"/>
      <w:pPr>
        <w:ind w:left="6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3266DF"/>
    <w:multiLevelType w:val="hybridMultilevel"/>
    <w:tmpl w:val="91969E9C"/>
    <w:lvl w:ilvl="0" w:tplc="619C290A">
      <w:start w:val="1"/>
      <w:numFmt w:val="upperRoman"/>
      <w:pStyle w:val="Cmsor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46681A">
      <w:start w:val="1"/>
      <w:numFmt w:val="lowerLetter"/>
      <w:lvlText w:val="%2"/>
      <w:lvlJc w:val="left"/>
      <w:pPr>
        <w:ind w:left="11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EF6DE">
      <w:start w:val="1"/>
      <w:numFmt w:val="lowerRoman"/>
      <w:lvlText w:val="%3"/>
      <w:lvlJc w:val="left"/>
      <w:pPr>
        <w:ind w:left="1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60686E">
      <w:start w:val="1"/>
      <w:numFmt w:val="decimal"/>
      <w:lvlText w:val="%4"/>
      <w:lvlJc w:val="left"/>
      <w:pPr>
        <w:ind w:left="26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218EAE4">
      <w:start w:val="1"/>
      <w:numFmt w:val="lowerLetter"/>
      <w:lvlText w:val="%5"/>
      <w:lvlJc w:val="left"/>
      <w:pPr>
        <w:ind w:left="3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936B6C6">
      <w:start w:val="1"/>
      <w:numFmt w:val="lowerRoman"/>
      <w:lvlText w:val="%6"/>
      <w:lvlJc w:val="left"/>
      <w:pPr>
        <w:ind w:left="4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96D2FC">
      <w:start w:val="1"/>
      <w:numFmt w:val="decimal"/>
      <w:lvlText w:val="%7"/>
      <w:lvlJc w:val="left"/>
      <w:pPr>
        <w:ind w:left="4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3A248A">
      <w:start w:val="1"/>
      <w:numFmt w:val="lowerLetter"/>
      <w:lvlText w:val="%8"/>
      <w:lvlJc w:val="left"/>
      <w:pPr>
        <w:ind w:left="5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BA0CCC">
      <w:start w:val="1"/>
      <w:numFmt w:val="lowerRoman"/>
      <w:lvlText w:val="%9"/>
      <w:lvlJc w:val="left"/>
      <w:pPr>
        <w:ind w:left="6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507CC0"/>
    <w:multiLevelType w:val="hybridMultilevel"/>
    <w:tmpl w:val="2F369E04"/>
    <w:lvl w:ilvl="0" w:tplc="AABC764A">
      <w:start w:val="1"/>
      <w:numFmt w:val="decimal"/>
      <w:lvlText w:val="%1."/>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8F192">
      <w:start w:val="1"/>
      <w:numFmt w:val="lowerLetter"/>
      <w:lvlText w:val="%2"/>
      <w:lvlJc w:val="left"/>
      <w:pPr>
        <w:ind w:left="1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A4D88A">
      <w:start w:val="1"/>
      <w:numFmt w:val="lowerRoman"/>
      <w:lvlText w:val="%3"/>
      <w:lvlJc w:val="left"/>
      <w:pPr>
        <w:ind w:left="1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2BA4C">
      <w:start w:val="1"/>
      <w:numFmt w:val="decimal"/>
      <w:lvlText w:val="%4"/>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4EF08">
      <w:start w:val="1"/>
      <w:numFmt w:val="lowerLetter"/>
      <w:lvlText w:val="%5"/>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7CD052">
      <w:start w:val="1"/>
      <w:numFmt w:val="lowerRoman"/>
      <w:lvlText w:val="%6"/>
      <w:lvlJc w:val="left"/>
      <w:pPr>
        <w:ind w:left="4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E26DCA">
      <w:start w:val="1"/>
      <w:numFmt w:val="decimal"/>
      <w:lvlText w:val="%7"/>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8F8AA">
      <w:start w:val="1"/>
      <w:numFmt w:val="lowerLetter"/>
      <w:lvlText w:val="%8"/>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04376">
      <w:start w:val="1"/>
      <w:numFmt w:val="lowerRoman"/>
      <w:lvlText w:val="%9"/>
      <w:lvlJc w:val="left"/>
      <w:pPr>
        <w:ind w:left="6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212FC"/>
    <w:multiLevelType w:val="hybridMultilevel"/>
    <w:tmpl w:val="E856AED8"/>
    <w:lvl w:ilvl="0" w:tplc="140C9036">
      <w:start w:val="1"/>
      <w:numFmt w:val="decimal"/>
      <w:lvlText w:val="%1."/>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F6585E">
      <w:start w:val="1"/>
      <w:numFmt w:val="lowerLetter"/>
      <w:lvlText w:val="%2"/>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8F7D4">
      <w:start w:val="1"/>
      <w:numFmt w:val="lowerRoman"/>
      <w:lvlText w:val="%3"/>
      <w:lvlJc w:val="left"/>
      <w:pPr>
        <w:ind w:left="1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C2235C">
      <w:start w:val="1"/>
      <w:numFmt w:val="decimal"/>
      <w:lvlText w:val="%4"/>
      <w:lvlJc w:val="left"/>
      <w:pPr>
        <w:ind w:left="2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88C8E">
      <w:start w:val="1"/>
      <w:numFmt w:val="lowerLetter"/>
      <w:lvlText w:val="%5"/>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602E6">
      <w:start w:val="1"/>
      <w:numFmt w:val="lowerRoman"/>
      <w:lvlText w:val="%6"/>
      <w:lvlJc w:val="left"/>
      <w:pPr>
        <w:ind w:left="4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A6F7C">
      <w:start w:val="1"/>
      <w:numFmt w:val="decimal"/>
      <w:lvlText w:val="%7"/>
      <w:lvlJc w:val="left"/>
      <w:pPr>
        <w:ind w:left="4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C6F4A">
      <w:start w:val="1"/>
      <w:numFmt w:val="lowerLetter"/>
      <w:lvlText w:val="%8"/>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E2DB8">
      <w:start w:val="1"/>
      <w:numFmt w:val="lowerRoman"/>
      <w:lvlText w:val="%9"/>
      <w:lvlJc w:val="left"/>
      <w:pPr>
        <w:ind w:left="6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B6009"/>
    <w:multiLevelType w:val="hybridMultilevel"/>
    <w:tmpl w:val="E8745EA0"/>
    <w:lvl w:ilvl="0" w:tplc="8D14B778">
      <w:start w:val="1"/>
      <w:numFmt w:val="decimal"/>
      <w:lvlText w:val="%1."/>
      <w:lvlJc w:val="left"/>
      <w:pPr>
        <w:ind w:left="6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FEC39E">
      <w:start w:val="1"/>
      <w:numFmt w:val="lowerLetter"/>
      <w:lvlText w:val="%2"/>
      <w:lvlJc w:val="left"/>
      <w:pPr>
        <w:ind w:left="1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5215DE">
      <w:start w:val="1"/>
      <w:numFmt w:val="lowerRoman"/>
      <w:lvlText w:val="%3"/>
      <w:lvlJc w:val="left"/>
      <w:pPr>
        <w:ind w:left="1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D87C38">
      <w:start w:val="1"/>
      <w:numFmt w:val="decimal"/>
      <w:lvlText w:val="%4"/>
      <w:lvlJc w:val="left"/>
      <w:pPr>
        <w:ind w:left="2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329F3A">
      <w:start w:val="1"/>
      <w:numFmt w:val="lowerLetter"/>
      <w:lvlText w:val="%5"/>
      <w:lvlJc w:val="left"/>
      <w:pPr>
        <w:ind w:left="3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B23F64">
      <w:start w:val="1"/>
      <w:numFmt w:val="lowerRoman"/>
      <w:lvlText w:val="%6"/>
      <w:lvlJc w:val="left"/>
      <w:pPr>
        <w:ind w:left="41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CA48B2">
      <w:start w:val="1"/>
      <w:numFmt w:val="decimal"/>
      <w:lvlText w:val="%7"/>
      <w:lvlJc w:val="left"/>
      <w:pPr>
        <w:ind w:left="48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FC470E">
      <w:start w:val="1"/>
      <w:numFmt w:val="lowerLetter"/>
      <w:lvlText w:val="%8"/>
      <w:lvlJc w:val="left"/>
      <w:pPr>
        <w:ind w:left="5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9033BE">
      <w:start w:val="1"/>
      <w:numFmt w:val="lowerRoman"/>
      <w:lvlText w:val="%9"/>
      <w:lvlJc w:val="left"/>
      <w:pPr>
        <w:ind w:left="6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696818"/>
    <w:multiLevelType w:val="hybridMultilevel"/>
    <w:tmpl w:val="4F0840A4"/>
    <w:lvl w:ilvl="0" w:tplc="25DA71E8">
      <w:start w:val="1"/>
      <w:numFmt w:val="lowerLetter"/>
      <w:lvlText w:val="(%1)"/>
      <w:lvlJc w:val="left"/>
      <w:pPr>
        <w:ind w:left="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EF266">
      <w:start w:val="1"/>
      <w:numFmt w:val="lowerRoman"/>
      <w:lvlText w:val="%2."/>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025A08">
      <w:start w:val="1"/>
      <w:numFmt w:val="lowerRoman"/>
      <w:lvlText w:val="%3"/>
      <w:lvlJc w:val="left"/>
      <w:pPr>
        <w:ind w:left="1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C7EE6">
      <w:start w:val="1"/>
      <w:numFmt w:val="decimal"/>
      <w:lvlText w:val="%4"/>
      <w:lvlJc w:val="left"/>
      <w:pPr>
        <w:ind w:left="2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ED988">
      <w:start w:val="1"/>
      <w:numFmt w:val="lowerLetter"/>
      <w:lvlText w:val="%5"/>
      <w:lvlJc w:val="left"/>
      <w:pPr>
        <w:ind w:left="3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5EA01C">
      <w:start w:val="1"/>
      <w:numFmt w:val="lowerRoman"/>
      <w:lvlText w:val="%6"/>
      <w:lvlJc w:val="left"/>
      <w:pPr>
        <w:ind w:left="3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1625F0">
      <w:start w:val="1"/>
      <w:numFmt w:val="decimal"/>
      <w:lvlText w:val="%7"/>
      <w:lvlJc w:val="left"/>
      <w:pPr>
        <w:ind w:left="4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0779C">
      <w:start w:val="1"/>
      <w:numFmt w:val="lowerLetter"/>
      <w:lvlText w:val="%8"/>
      <w:lvlJc w:val="left"/>
      <w:pPr>
        <w:ind w:left="5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AC9512">
      <w:start w:val="1"/>
      <w:numFmt w:val="lowerRoman"/>
      <w:lvlText w:val="%9"/>
      <w:lvlJc w:val="left"/>
      <w:pPr>
        <w:ind w:left="6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F20B11"/>
    <w:multiLevelType w:val="hybridMultilevel"/>
    <w:tmpl w:val="588C803C"/>
    <w:lvl w:ilvl="0" w:tplc="52AC0A4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1A"/>
    <w:rsid w:val="000142EF"/>
    <w:rsid w:val="000A55CB"/>
    <w:rsid w:val="000E46B4"/>
    <w:rsid w:val="001352FF"/>
    <w:rsid w:val="00180027"/>
    <w:rsid w:val="00183850"/>
    <w:rsid w:val="001B2EB9"/>
    <w:rsid w:val="001D79B3"/>
    <w:rsid w:val="001F4ACC"/>
    <w:rsid w:val="002B0FD0"/>
    <w:rsid w:val="002B1758"/>
    <w:rsid w:val="00383F2B"/>
    <w:rsid w:val="00396190"/>
    <w:rsid w:val="003E3A8D"/>
    <w:rsid w:val="00475520"/>
    <w:rsid w:val="00573A4F"/>
    <w:rsid w:val="00580512"/>
    <w:rsid w:val="00583079"/>
    <w:rsid w:val="00621144"/>
    <w:rsid w:val="007E299A"/>
    <w:rsid w:val="008623EF"/>
    <w:rsid w:val="00926357"/>
    <w:rsid w:val="009558F5"/>
    <w:rsid w:val="00967E51"/>
    <w:rsid w:val="00981366"/>
    <w:rsid w:val="00996B1A"/>
    <w:rsid w:val="009B7BD4"/>
    <w:rsid w:val="009E3319"/>
    <w:rsid w:val="009E3D60"/>
    <w:rsid w:val="00AB717C"/>
    <w:rsid w:val="00B34426"/>
    <w:rsid w:val="00BA3792"/>
    <w:rsid w:val="00BC1C7A"/>
    <w:rsid w:val="00C40E7D"/>
    <w:rsid w:val="00CC6B03"/>
    <w:rsid w:val="00D825D5"/>
    <w:rsid w:val="00D87A77"/>
    <w:rsid w:val="00DB0C55"/>
    <w:rsid w:val="00DD16D9"/>
    <w:rsid w:val="00EE2A77"/>
    <w:rsid w:val="00F42C44"/>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E5A57"/>
  <w15:docId w15:val="{4C5E53A1-D502-4216-9692-842FC141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31" w:line="251" w:lineRule="auto"/>
      <w:ind w:left="254" w:hanging="10"/>
    </w:pPr>
    <w:rPr>
      <w:rFonts w:ascii="Arial" w:eastAsia="Arial" w:hAnsi="Arial" w:cs="Arial"/>
      <w:color w:val="000000"/>
    </w:rPr>
  </w:style>
  <w:style w:type="paragraph" w:styleId="Cmsor1">
    <w:name w:val="heading 1"/>
    <w:next w:val="Norml"/>
    <w:link w:val="Cmsor1Char"/>
    <w:uiPriority w:val="9"/>
    <w:qFormat/>
    <w:pPr>
      <w:keepNext/>
      <w:keepLines/>
      <w:numPr>
        <w:numId w:val="6"/>
      </w:numPr>
      <w:spacing w:after="19"/>
      <w:ind w:left="123" w:hanging="10"/>
      <w:outlineLvl w:val="0"/>
    </w:pPr>
    <w:rPr>
      <w:rFonts w:ascii="Arial" w:eastAsia="Arial" w:hAnsi="Arial" w:cs="Arial"/>
      <w:b/>
      <w:color w:val="00000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Arial" w:eastAsia="Arial" w:hAnsi="Arial" w:cs="Arial"/>
      <w:b/>
      <w:color w:val="000000"/>
      <w:sz w:val="22"/>
    </w:rPr>
  </w:style>
  <w:style w:type="paragraph" w:customStyle="1" w:styleId="footnotedescription">
    <w:name w:val="footnote description"/>
    <w:next w:val="Norml"/>
    <w:link w:val="footnotedescriptionChar"/>
    <w:hidden/>
    <w:pPr>
      <w:spacing w:after="0"/>
      <w:ind w:left="259"/>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Listaszerbekezds">
    <w:name w:val="List Paragraph"/>
    <w:basedOn w:val="Norml"/>
    <w:uiPriority w:val="34"/>
    <w:qFormat/>
    <w:rsid w:val="00D825D5"/>
    <w:pPr>
      <w:ind w:left="720"/>
      <w:contextualSpacing/>
    </w:pPr>
  </w:style>
  <w:style w:type="paragraph" w:styleId="lfej">
    <w:name w:val="header"/>
    <w:basedOn w:val="Norml"/>
    <w:link w:val="lfejChar"/>
    <w:uiPriority w:val="99"/>
    <w:unhideWhenUsed/>
    <w:rsid w:val="00EE2A77"/>
    <w:pPr>
      <w:tabs>
        <w:tab w:val="center" w:pos="4536"/>
        <w:tab w:val="right" w:pos="9072"/>
      </w:tabs>
      <w:spacing w:after="0" w:line="240" w:lineRule="auto"/>
    </w:pPr>
  </w:style>
  <w:style w:type="character" w:customStyle="1" w:styleId="lfejChar">
    <w:name w:val="Élőfej Char"/>
    <w:basedOn w:val="Bekezdsalapbettpusa"/>
    <w:link w:val="lfej"/>
    <w:uiPriority w:val="99"/>
    <w:rsid w:val="00EE2A77"/>
    <w:rPr>
      <w:rFonts w:ascii="Arial" w:eastAsia="Arial" w:hAnsi="Arial" w:cs="Arial"/>
      <w:color w:val="000000"/>
    </w:rPr>
  </w:style>
  <w:style w:type="paragraph" w:styleId="Lbjegyzetszveg">
    <w:name w:val="footnote text"/>
    <w:basedOn w:val="Norml"/>
    <w:link w:val="LbjegyzetszvegChar"/>
    <w:uiPriority w:val="99"/>
    <w:semiHidden/>
    <w:unhideWhenUsed/>
    <w:rsid w:val="00BC1C7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C1C7A"/>
    <w:rPr>
      <w:rFonts w:ascii="Arial" w:eastAsia="Arial" w:hAnsi="Arial" w:cs="Arial"/>
      <w:color w:val="000000"/>
      <w:sz w:val="20"/>
      <w:szCs w:val="20"/>
    </w:rPr>
  </w:style>
  <w:style w:type="character" w:styleId="Lbjegyzet-hivatkozs">
    <w:name w:val="footnote reference"/>
    <w:basedOn w:val="Bekezdsalapbettpusa"/>
    <w:uiPriority w:val="99"/>
    <w:semiHidden/>
    <w:unhideWhenUsed/>
    <w:rsid w:val="00BC1C7A"/>
    <w:rPr>
      <w:vertAlign w:val="superscript"/>
    </w:rPr>
  </w:style>
  <w:style w:type="character" w:styleId="Hiperhivatkozs">
    <w:name w:val="Hyperlink"/>
    <w:basedOn w:val="Bekezdsalapbettpusa"/>
    <w:uiPriority w:val="99"/>
    <w:unhideWhenUsed/>
    <w:rsid w:val="008623EF"/>
    <w:rPr>
      <w:color w:val="0563C1" w:themeColor="hyperlink"/>
      <w:u w:val="single"/>
    </w:rPr>
  </w:style>
  <w:style w:type="character" w:styleId="Feloldatlanmegemlts">
    <w:name w:val="Unresolved Mention"/>
    <w:basedOn w:val="Bekezdsalapbettpusa"/>
    <w:uiPriority w:val="99"/>
    <w:semiHidden/>
    <w:unhideWhenUsed/>
    <w:rsid w:val="0086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osco.org/about/?subsection=administrative_arran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F593-2A1B-49CD-A85F-79A1F8B0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3310</Words>
  <Characters>22839</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Administrative Arrangement (AA)</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 (AA)</dc:title>
  <dc:creator>Bencsik Péter</dc:creator>
  <cp:lastModifiedBy>Csáky Krisztián Dr.</cp:lastModifiedBy>
  <cp:revision>20</cp:revision>
  <dcterms:created xsi:type="dcterms:W3CDTF">2022-04-04T12:03:00Z</dcterms:created>
  <dcterms:modified xsi:type="dcterms:W3CDTF">2022-04-13T11:08:00Z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2027-04-04T09:43:11Z</vt:filetime>
  </property>
  <property fmtid="{D5CDD505-2E9C-101B-9397-08002B2CF9AE}" pid="3" name="Érvényességet beállító">
    <vt:lpwstr>bencsikp</vt:lpwstr>
  </property>
  <property fmtid="{D5CDD505-2E9C-101B-9397-08002B2CF9AE}" pid="4" name="Érvényességi idő első beállítása">
    <vt:filetime>2022-04-04T09:43:11Z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bencsikp@mnb.hu</vt:lpwstr>
  </property>
  <property fmtid="{D5CDD505-2E9C-101B-9397-08002B2CF9AE}" pid="8" name="MSIP_Label_b0d11092-50c9-4e74-84b5-b1af078dc3d0_SetDate">
    <vt:lpwstr>2022-04-04T09:43:24.7561282Z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4e1f29b7-b43c-400b-811d-ac9e383d74e2</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